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916AAC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21 </w:t>
            </w:r>
          </w:p>
          <w:p w:rsidR="00C900F9" w:rsidRPr="00916AAC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916A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916AAC" w:rsidRPr="00916AAC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 w:rsidRPr="00916AAC">
              <w:rPr>
                <w:rFonts w:ascii="Times New Roman" w:hAnsi="Times New Roman" w:cs="Times New Roman"/>
                <w:sz w:val="28"/>
                <w:szCs w:val="28"/>
              </w:rPr>
              <w:t>района города Росто</w:t>
            </w:r>
            <w:r w:rsidR="00916AAC" w:rsidRPr="00916AAC">
              <w:rPr>
                <w:rFonts w:ascii="Times New Roman" w:hAnsi="Times New Roman" w:cs="Times New Roman"/>
                <w:sz w:val="28"/>
                <w:szCs w:val="28"/>
              </w:rPr>
              <w:t>ва-на-Дону</w:t>
            </w:r>
            <w:r w:rsidR="0091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AAC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г. № 4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Каждый экземпляр расписки подписывается специалистом МФЦ, ответственным за прием документов, и одним из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5" w:rsidRDefault="00955DB5" w:rsidP="00A250A3">
      <w:pPr>
        <w:spacing w:after="0" w:line="240" w:lineRule="auto"/>
      </w:pPr>
      <w:r>
        <w:separator/>
      </w:r>
    </w:p>
  </w:endnote>
  <w:endnote w:type="continuationSeparator" w:id="0">
    <w:p w:rsidR="00955DB5" w:rsidRDefault="00955DB5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66388D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5" w:rsidRDefault="00955DB5" w:rsidP="00A250A3">
      <w:pPr>
        <w:spacing w:after="0" w:line="240" w:lineRule="auto"/>
      </w:pPr>
      <w:r>
        <w:separator/>
      </w:r>
    </w:p>
  </w:footnote>
  <w:footnote w:type="continuationSeparator" w:id="0">
    <w:p w:rsidR="00955DB5" w:rsidRDefault="00955DB5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5417"/>
    <w:rsid w:val="00380F02"/>
    <w:rsid w:val="003D3576"/>
    <w:rsid w:val="00416417"/>
    <w:rsid w:val="004268FC"/>
    <w:rsid w:val="004456C0"/>
    <w:rsid w:val="004B1F67"/>
    <w:rsid w:val="00527046"/>
    <w:rsid w:val="00532579"/>
    <w:rsid w:val="00574143"/>
    <w:rsid w:val="005B05D7"/>
    <w:rsid w:val="005E7080"/>
    <w:rsid w:val="00633ECD"/>
    <w:rsid w:val="00657CF2"/>
    <w:rsid w:val="0066388D"/>
    <w:rsid w:val="006A4103"/>
    <w:rsid w:val="006D048F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16AAC"/>
    <w:rsid w:val="00931BAF"/>
    <w:rsid w:val="00955DB5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44F6A"/>
    <w:rsid w:val="00C900F9"/>
    <w:rsid w:val="00C9325D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B47D-BA89-46AA-80EC-F8FE404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46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24</cp:revision>
  <cp:lastPrinted>2020-09-16T06:23:00Z</cp:lastPrinted>
  <dcterms:created xsi:type="dcterms:W3CDTF">2020-10-03T14:29:00Z</dcterms:created>
  <dcterms:modified xsi:type="dcterms:W3CDTF">2021-02-24T12:57:00Z</dcterms:modified>
</cp:coreProperties>
</file>