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C262C5">
        <w:rPr>
          <w:rFonts w:ascii="Arial" w:hAnsi="Arial" w:cs="Arial"/>
          <w:b/>
          <w:bCs/>
          <w:color w:val="993300"/>
          <w:sz w:val="32"/>
          <w:szCs w:val="32"/>
          <w:u w:val="single"/>
        </w:rPr>
        <w:t>30</w:t>
      </w:r>
      <w:r w:rsidR="0098268D">
        <w:rPr>
          <w:rFonts w:ascii="Arial" w:hAnsi="Arial" w:cs="Arial"/>
          <w:b/>
          <w:bCs/>
          <w:color w:val="993300"/>
          <w:sz w:val="32"/>
          <w:szCs w:val="32"/>
          <w:u w:val="single"/>
        </w:rPr>
        <w:t>.</w:t>
      </w:r>
      <w:r w:rsidR="00A645B1">
        <w:rPr>
          <w:rFonts w:ascii="Arial" w:hAnsi="Arial" w:cs="Arial"/>
          <w:b/>
          <w:bCs/>
          <w:color w:val="993300"/>
          <w:sz w:val="32"/>
          <w:szCs w:val="32"/>
          <w:u w:val="single"/>
        </w:rPr>
        <w:t>0</w:t>
      </w:r>
      <w:r w:rsidR="00C262C5">
        <w:rPr>
          <w:rFonts w:ascii="Arial" w:hAnsi="Arial" w:cs="Arial"/>
          <w:b/>
          <w:bCs/>
          <w:color w:val="993300"/>
          <w:sz w:val="32"/>
          <w:szCs w:val="32"/>
          <w:u w:val="single"/>
        </w:rPr>
        <w:t>1</w:t>
      </w:r>
      <w:bookmarkStart w:id="0" w:name="_GoBack"/>
      <w:bookmarkEnd w:id="0"/>
      <w:r w:rsidR="00D5549F">
        <w:rPr>
          <w:rFonts w:ascii="Arial" w:hAnsi="Arial" w:cs="Arial"/>
          <w:b/>
          <w:bCs/>
          <w:color w:val="993300"/>
          <w:sz w:val="32"/>
          <w:szCs w:val="32"/>
          <w:u w:val="single"/>
        </w:rPr>
        <w:t>.202</w:t>
      </w:r>
      <w:r w:rsidR="008B6E14">
        <w:rPr>
          <w:rFonts w:ascii="Arial" w:hAnsi="Arial" w:cs="Arial"/>
          <w:b/>
          <w:bCs/>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 xml:space="preserve">российских национальных водительских удостоверений при замене, утрате (хищении) и международных водительских удостоверений)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444F8D" w:rsidRDefault="00024CEE" w:rsidP="009C6375">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20 рабочих дней со дня приема документов в МФЦ;</w:t>
            </w:r>
          </w:p>
          <w:p w:rsidR="00024CEE" w:rsidRPr="00444F8D" w:rsidRDefault="00024CEE" w:rsidP="009C6375">
            <w:pPr>
              <w:jc w:val="center"/>
              <w:rPr>
                <w:rFonts w:ascii="Arial" w:hAnsi="Arial" w:cs="Arial"/>
                <w:color w:val="623B2A"/>
                <w:sz w:val="22"/>
                <w:szCs w:val="22"/>
                <w:highlight w:val="yellow"/>
              </w:rPr>
            </w:pPr>
            <w:r w:rsidRPr="00444F8D">
              <w:rPr>
                <w:rFonts w:ascii="Arial" w:hAnsi="Arial" w:cs="Arial"/>
                <w:color w:val="623B2A"/>
                <w:sz w:val="22"/>
                <w:szCs w:val="22"/>
              </w:rPr>
              <w:t xml:space="preserve">2) передача документа из Органа в МФЦ – </w:t>
            </w:r>
            <w:r w:rsidR="006C2195" w:rsidRPr="00444F8D">
              <w:rPr>
                <w:rFonts w:ascii="Arial" w:hAnsi="Arial" w:cs="Arial"/>
                <w:color w:val="623B2A"/>
                <w:sz w:val="22"/>
                <w:szCs w:val="22"/>
              </w:rPr>
              <w:t>1 рабочий</w:t>
            </w:r>
            <w:r w:rsidRPr="00444F8D">
              <w:rPr>
                <w:rFonts w:ascii="Arial" w:hAnsi="Arial" w:cs="Arial"/>
                <w:color w:val="623B2A"/>
                <w:sz w:val="22"/>
                <w:szCs w:val="22"/>
              </w:rPr>
              <w:t xml:space="preserve"> д</w:t>
            </w:r>
            <w:r w:rsidR="006C2195" w:rsidRPr="00444F8D">
              <w:rPr>
                <w:rFonts w:ascii="Arial" w:hAnsi="Arial" w:cs="Arial"/>
                <w:color w:val="623B2A"/>
                <w:sz w:val="22"/>
                <w:szCs w:val="22"/>
              </w:rPr>
              <w:t>ень;</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Установление ежемесячной денежной выплаты отдельным </w:t>
            </w:r>
            <w:r w:rsidRPr="00AC0866">
              <w:rPr>
                <w:rFonts w:ascii="Arial" w:hAnsi="Arial" w:cs="Arial"/>
                <w:color w:val="623B2A"/>
                <w:sz w:val="22"/>
                <w:szCs w:val="22"/>
              </w:rPr>
              <w:lastRenderedPageBreak/>
              <w:t>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 xml:space="preserve">передача документов из </w:t>
            </w:r>
            <w:r w:rsidRPr="00AC0866">
              <w:rPr>
                <w:color w:val="623B2A"/>
                <w:sz w:val="22"/>
                <w:szCs w:val="22"/>
              </w:rPr>
              <w:lastRenderedPageBreak/>
              <w:t>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Установление страховых пенсий, накопительной пенсии и пенсий по государственному </w:t>
            </w:r>
            <w:r w:rsidRPr="00AC0866">
              <w:rPr>
                <w:rFonts w:ascii="Arial" w:hAnsi="Arial" w:cs="Arial"/>
                <w:color w:val="623B2A"/>
                <w:sz w:val="22"/>
                <w:szCs w:val="22"/>
              </w:rPr>
              <w:lastRenderedPageBreak/>
              <w:t>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lastRenderedPageBreak/>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A66FEF" w:rsidRDefault="00A66FEF" w:rsidP="00A66FEF">
            <w:pPr>
              <w:pStyle w:val="af6"/>
              <w:tabs>
                <w:tab w:val="left" w:pos="884"/>
              </w:tabs>
              <w:rPr>
                <w:color w:val="623B2A"/>
                <w:sz w:val="22"/>
                <w:szCs w:val="22"/>
              </w:rPr>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w:t>
            </w:r>
            <w:r w:rsidRPr="00A66FEF">
              <w:rPr>
                <w:color w:val="623B2A"/>
                <w:sz w:val="22"/>
                <w:szCs w:val="22"/>
              </w:rPr>
              <w:lastRenderedPageBreak/>
              <w:t>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A66FEF"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 xml:space="preserve">передача документов из МФЦ в Орган – </w:t>
            </w:r>
            <w:r w:rsidRPr="00A66FEF">
              <w:rPr>
                <w:color w:val="623B2A"/>
                <w:sz w:val="22"/>
                <w:szCs w:val="22"/>
              </w:rPr>
              <w:lastRenderedPageBreak/>
              <w:t>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w:t>
            </w:r>
            <w:r w:rsidRPr="00AC0866">
              <w:rPr>
                <w:rFonts w:ascii="Arial" w:hAnsi="Arial" w:cs="Arial"/>
                <w:color w:val="623B2A"/>
                <w:sz w:val="22"/>
                <w:szCs w:val="22"/>
              </w:rPr>
              <w:lastRenderedPageBreak/>
              <w:t>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 xml:space="preserve">дней с момента получения </w:t>
            </w:r>
            <w:r w:rsidRPr="00AC0866">
              <w:rPr>
                <w:color w:val="623B2A"/>
                <w:sz w:val="22"/>
                <w:szCs w:val="22"/>
              </w:rPr>
              <w:lastRenderedPageBreak/>
              <w:t>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lastRenderedPageBreak/>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Принятие решения о </w:t>
            </w:r>
            <w:r w:rsidRPr="00AC0866">
              <w:rPr>
                <w:rFonts w:ascii="Arial" w:hAnsi="Arial" w:cs="Arial"/>
                <w:color w:val="623B2A"/>
                <w:sz w:val="22"/>
                <w:szCs w:val="22"/>
              </w:rPr>
              <w:lastRenderedPageBreak/>
              <w:t>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33 </w:t>
            </w:r>
            <w:r w:rsidRPr="00AC0866">
              <w:rPr>
                <w:color w:val="623B2A"/>
                <w:spacing w:val="2"/>
                <w:sz w:val="22"/>
                <w:szCs w:val="22"/>
              </w:rPr>
              <w:lastRenderedPageBreak/>
              <w:t>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 xml:space="preserve">их реставрации срок предоставления муниципальной услуги  продлевается, но не более чем на 30 календарных дней, с </w:t>
            </w:r>
            <w:r w:rsidRPr="00BB0177">
              <w:rPr>
                <w:color w:val="623B2A"/>
                <w:sz w:val="20"/>
                <w:szCs w:val="22"/>
              </w:rPr>
              <w:lastRenderedPageBreak/>
              <w:t>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Прием документов граждан для принятия решения о присвоении им звания «Ветеран труда» и выдача гражданам удостоверения </w:t>
            </w:r>
            <w:r w:rsidRPr="00AC0866">
              <w:rPr>
                <w:color w:val="623B2A"/>
                <w:sz w:val="22"/>
                <w:szCs w:val="22"/>
              </w:rPr>
              <w:lastRenderedPageBreak/>
              <w:t>ветерана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ежемесячных денежных выплат на </w:t>
            </w:r>
            <w:r w:rsidRPr="00AC0866">
              <w:rPr>
                <w:rFonts w:ascii="Arial" w:hAnsi="Arial" w:cs="Arial"/>
                <w:color w:val="623B2A"/>
                <w:sz w:val="22"/>
                <w:szCs w:val="22"/>
              </w:rPr>
              <w:lastRenderedPageBreak/>
              <w:t>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Предоставление ежегодной денежной выплаты гражданам, </w:t>
            </w:r>
            <w:r w:rsidRPr="00AC0866">
              <w:rPr>
                <w:color w:val="623B2A"/>
                <w:spacing w:val="2"/>
                <w:sz w:val="22"/>
                <w:szCs w:val="22"/>
              </w:rPr>
              <w:lastRenderedPageBreak/>
              <w:t>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 xml:space="preserve">Предоставление компенсации </w:t>
            </w:r>
            <w:r w:rsidRPr="007C6F1D">
              <w:rPr>
                <w:iCs/>
                <w:color w:val="623B2A"/>
                <w:sz w:val="22"/>
                <w:szCs w:val="22"/>
              </w:rPr>
              <w:lastRenderedPageBreak/>
              <w:t>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lastRenderedPageBreak/>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lastRenderedPageBreak/>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 xml:space="preserve">передача </w:t>
            </w:r>
            <w:r w:rsidRPr="00D151DD">
              <w:rPr>
                <w:rFonts w:ascii="Arial" w:hAnsi="Arial" w:cs="Arial"/>
                <w:iCs/>
                <w:color w:val="623B2A"/>
                <w:sz w:val="22"/>
                <w:szCs w:val="22"/>
              </w:rPr>
              <w:lastRenderedPageBreak/>
              <w:t>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 xml:space="preserve">Организация питания </w:t>
            </w:r>
            <w:r w:rsidRPr="0026331D">
              <w:rPr>
                <w:color w:val="623B2A"/>
                <w:sz w:val="22"/>
                <w:szCs w:val="22"/>
              </w:rPr>
              <w:lastRenderedPageBreak/>
              <w:t>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57 </w:t>
            </w:r>
            <w:r w:rsidRPr="00AC0866">
              <w:rPr>
                <w:color w:val="623B2A"/>
                <w:sz w:val="22"/>
                <w:szCs w:val="22"/>
              </w:rPr>
              <w:lastRenderedPageBreak/>
              <w:t>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lastRenderedPageBreak/>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 xml:space="preserve">(13 рабочих дней (в случае </w:t>
            </w:r>
            <w:r w:rsidRPr="00444F8D">
              <w:rPr>
                <w:color w:val="623B2A"/>
                <w:sz w:val="20"/>
                <w:szCs w:val="22"/>
              </w:rPr>
              <w:lastRenderedPageBreak/>
              <w:t>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w:t>
            </w:r>
            <w:r w:rsidRPr="00AC0866">
              <w:rPr>
                <w:color w:val="623B2A"/>
                <w:sz w:val="22"/>
                <w:szCs w:val="22"/>
              </w:rPr>
              <w:lastRenderedPageBreak/>
              <w:t>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lastRenderedPageBreak/>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BE25E4">
              <w:rPr>
                <w:rFonts w:ascii="Arial" w:hAnsi="Arial" w:cs="Arial"/>
                <w:color w:val="623B2A"/>
                <w:sz w:val="22"/>
                <w:szCs w:val="22"/>
              </w:rPr>
              <w:lastRenderedPageBreak/>
              <w:t>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w:t>
            </w:r>
            <w:r w:rsidRPr="002B1549">
              <w:rPr>
                <w:rFonts w:ascii="Arial" w:hAnsi="Arial" w:cs="Arial"/>
                <w:color w:val="623B2A"/>
                <w:sz w:val="22"/>
                <w:szCs w:val="22"/>
              </w:rPr>
              <w:lastRenderedPageBreak/>
              <w:t>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w:t>
            </w:r>
            <w:r w:rsidRPr="004D6A5E">
              <w:rPr>
                <w:rFonts w:ascii="Arial" w:eastAsia="Calibri" w:hAnsi="Arial" w:cs="Arial"/>
                <w:sz w:val="16"/>
                <w:szCs w:val="20"/>
              </w:rPr>
              <w:lastRenderedPageBreak/>
              <w:t>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lastRenderedPageBreak/>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w:t>
            </w:r>
            <w:r w:rsidRPr="004D6A5E">
              <w:rPr>
                <w:rFonts w:ascii="Arial" w:eastAsia="Calibri" w:hAnsi="Arial" w:cs="Arial"/>
                <w:b/>
                <w:color w:val="452103"/>
                <w:sz w:val="12"/>
                <w:szCs w:val="12"/>
              </w:rPr>
              <w:lastRenderedPageBreak/>
              <w:t>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w:t>
            </w:r>
            <w:r w:rsidRPr="00444F8D">
              <w:rPr>
                <w:rFonts w:eastAsia="Calibri"/>
                <w:color w:val="623B2A"/>
                <w:sz w:val="16"/>
                <w:szCs w:val="16"/>
                <w:lang w:eastAsia="en-US"/>
              </w:rPr>
              <w:lastRenderedPageBreak/>
              <w:t>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взаимных расчетов по договорам аренды нежилых помещений, движимого имущества, имущественных </w:t>
            </w:r>
            <w:r w:rsidRPr="002B1549">
              <w:rPr>
                <w:rFonts w:ascii="Arial" w:hAnsi="Arial" w:cs="Arial"/>
                <w:color w:val="623B2A"/>
                <w:sz w:val="22"/>
                <w:szCs w:val="22"/>
              </w:rPr>
              <w:lastRenderedPageBreak/>
              <w:t>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правообладателю муниципального имущества, а также земельных участков, заверенных копий правоустанавливающих </w:t>
            </w:r>
            <w:r w:rsidRPr="002B1549">
              <w:rPr>
                <w:rFonts w:ascii="Arial" w:hAnsi="Arial" w:cs="Arial"/>
                <w:color w:val="623B2A"/>
                <w:sz w:val="22"/>
                <w:szCs w:val="22"/>
              </w:rPr>
              <w:lastRenderedPageBreak/>
              <w:t>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xml:space="preserve">- в случае обращения заявителя за предоставлением земельного участка для индивидуального жилищного строительства, </w:t>
            </w:r>
            <w:r w:rsidRPr="0053325E">
              <w:rPr>
                <w:rFonts w:ascii="Arial" w:eastAsia="Calibri" w:hAnsi="Arial" w:cs="Arial"/>
                <w:color w:val="632423" w:themeColor="accent2" w:themeShade="80"/>
                <w:sz w:val="16"/>
                <w:szCs w:val="16"/>
              </w:rPr>
              <w:lastRenderedPageBreak/>
              <w:t>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w:t>
            </w:r>
            <w:r w:rsidRPr="0053325E">
              <w:rPr>
                <w:rFonts w:ascii="Arial" w:eastAsia="Calibri" w:hAnsi="Arial" w:cs="Arial"/>
                <w:color w:val="632423" w:themeColor="accent2" w:themeShade="80"/>
                <w:sz w:val="16"/>
                <w:szCs w:val="16"/>
              </w:rPr>
              <w:lastRenderedPageBreak/>
              <w:t>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 xml:space="preserve">Прекращение публичного </w:t>
            </w:r>
            <w:r w:rsidRPr="002B1549">
              <w:rPr>
                <w:rFonts w:ascii="Arial" w:hAnsi="Arial" w:cs="Arial"/>
                <w:color w:val="623B2A"/>
              </w:rPr>
              <w:lastRenderedPageBreak/>
              <w:t>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30 дней со дня </w:t>
            </w:r>
            <w:r w:rsidRPr="00AC0866">
              <w:rPr>
                <w:rFonts w:eastAsia="Calibri"/>
                <w:color w:val="623B2A"/>
                <w:sz w:val="22"/>
                <w:szCs w:val="22"/>
                <w:lang w:eastAsia="en-US"/>
              </w:rPr>
              <w:lastRenderedPageBreak/>
              <w:t>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 xml:space="preserve">Дача письменных разъяснений по вопросам применения нормативных правовых актов муниципального образования «Город Ростов-на-Дону» о </w:t>
            </w:r>
            <w:r w:rsidRPr="0026331D">
              <w:rPr>
                <w:color w:val="623B2A"/>
                <w:spacing w:val="2"/>
                <w:sz w:val="22"/>
                <w:szCs w:val="22"/>
              </w:rPr>
              <w:lastRenderedPageBreak/>
              <w:t>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lastRenderedPageBreak/>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lastRenderedPageBreak/>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идентификации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lastRenderedPageBreak/>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w:t>
            </w:r>
            <w:r w:rsidRPr="00AC0866">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bl>
    <w:p w:rsidR="005631E8" w:rsidRDefault="005631E8" w:rsidP="0075635A">
      <w:pPr>
        <w:rPr>
          <w:rFonts w:ascii="Arial" w:hAnsi="Arial" w:cs="Arial"/>
          <w:color w:val="993300"/>
          <w:spacing w:val="4"/>
          <w:sz w:val="22"/>
          <w:szCs w:val="22"/>
        </w:rPr>
      </w:pPr>
    </w:p>
    <w:p w:rsidR="002E0A24" w:rsidRDefault="002E0A24" w:rsidP="0075635A">
      <w:pPr>
        <w:rPr>
          <w:rFonts w:ascii="Arial" w:hAnsi="Arial" w:cs="Arial"/>
          <w:color w:val="993300"/>
          <w:spacing w:val="4"/>
          <w:sz w:val="22"/>
          <w:szCs w:val="22"/>
        </w:rPr>
      </w:pPr>
    </w:p>
    <w:p w:rsidR="00D5549F"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75" w:rsidRDefault="004A3075">
      <w:r>
        <w:separator/>
      </w:r>
    </w:p>
  </w:endnote>
  <w:endnote w:type="continuationSeparator" w:id="0">
    <w:p w:rsidR="004A3075" w:rsidRDefault="004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75" w:rsidRDefault="004A3075"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A3075" w:rsidRDefault="004A307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75" w:rsidRDefault="004A3075">
    <w:pPr>
      <w:pStyle w:val="a8"/>
      <w:jc w:val="right"/>
    </w:pPr>
    <w:r>
      <w:fldChar w:fldCharType="begin"/>
    </w:r>
    <w:r>
      <w:instrText xml:space="preserve"> PAGE   \* MERGEFORMAT </w:instrText>
    </w:r>
    <w:r>
      <w:fldChar w:fldCharType="separate"/>
    </w:r>
    <w:r w:rsidR="00C262C5">
      <w:rPr>
        <w:noProof/>
      </w:rPr>
      <w:t>2</w:t>
    </w:r>
    <w:r>
      <w:rPr>
        <w:noProof/>
      </w:rPr>
      <w:fldChar w:fldCharType="end"/>
    </w:r>
  </w:p>
  <w:p w:rsidR="004A3075" w:rsidRDefault="004A307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75" w:rsidRDefault="004A3075">
      <w:r>
        <w:separator/>
      </w:r>
    </w:p>
  </w:footnote>
  <w:footnote w:type="continuationSeparator" w:id="0">
    <w:p w:rsidR="004A3075" w:rsidRDefault="004A3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75" w:rsidRDefault="004A3075">
    <w:pPr>
      <w:pStyle w:val="a6"/>
      <w:jc w:val="center"/>
    </w:pPr>
    <w:r>
      <w:fldChar w:fldCharType="begin"/>
    </w:r>
    <w:r>
      <w:instrText xml:space="preserve"> PAGE   \* MERGEFORMAT </w:instrText>
    </w:r>
    <w:r>
      <w:fldChar w:fldCharType="separate"/>
    </w:r>
    <w:r w:rsidR="00C262C5">
      <w:rPr>
        <w:noProof/>
      </w:rPr>
      <w:t>2</w:t>
    </w:r>
    <w:r>
      <w:rPr>
        <w:noProof/>
      </w:rPr>
      <w:fldChar w:fldCharType="end"/>
    </w:r>
  </w:p>
  <w:p w:rsidR="004A3075" w:rsidRDefault="004A307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49EC7"/>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B339-0271-4758-910A-637F304C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45</Pages>
  <Words>12547</Words>
  <Characters>71522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83902</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Бендусов И.Г.</cp:lastModifiedBy>
  <cp:revision>243</cp:revision>
  <cp:lastPrinted>2026-01-20T08:22:00Z</cp:lastPrinted>
  <dcterms:created xsi:type="dcterms:W3CDTF">2024-09-09T11:37:00Z</dcterms:created>
  <dcterms:modified xsi:type="dcterms:W3CDTF">2026-01-30T06:23:00Z</dcterms:modified>
</cp:coreProperties>
</file>