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969"/>
        <w:gridCol w:w="6663"/>
      </w:tblGrid>
      <w:tr w:rsidR="00163446" w:rsidRPr="00261F40" w:rsidTr="00261F40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4335B5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17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0</w:t>
            </w:r>
            <w:r w:rsidR="00245445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5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2021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163446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3911FE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3911FE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3911FE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3911FE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психотропных веществ без назначения врача либо новых потенциально опасных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</w:t>
            </w:r>
            <w:proofErr w:type="spellEnd"/>
            <w:r w:rsidRPr="00163446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B34833" w:rsidRPr="00163446" w:rsidTr="003911FE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проверка документов– 30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потребительским кооперативам на возмещение части понесенных затрат, связанных с приобретением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-, 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163446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Управление ветеринарии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  <w:proofErr w:type="gramEnd"/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 на заключение договора аренды  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исполнение тематических запросов, в том числе биографического и имущественного характера -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размер платы определяется в соответствии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научно-технической обработки документов,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34833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  <w:p w:rsidR="00B34833" w:rsidRPr="00163446" w:rsidRDefault="00B34833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977619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B34833" w:rsidRPr="00163446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1725EF" w:rsidRPr="00163446" w:rsidTr="003911FE">
        <w:tc>
          <w:tcPr>
            <w:tcW w:w="709" w:type="dxa"/>
            <w:shd w:val="clear" w:color="auto" w:fill="auto"/>
            <w:vAlign w:val="center"/>
          </w:tcPr>
          <w:p w:rsidR="001725EF" w:rsidRPr="00163446" w:rsidRDefault="001725E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25EF" w:rsidRPr="00163446" w:rsidRDefault="001725EF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725EF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5EF" w:rsidRPr="00163446" w:rsidRDefault="001725E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5EF" w:rsidRPr="00163446" w:rsidRDefault="00B8762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1725EF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D166DD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</w:t>
            </w:r>
            <w:r w:rsidR="00271679" w:rsidRPr="00163446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55 календарных дней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или 14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задания на подготовку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(1</w:t>
            </w:r>
            <w:r w:rsidR="00B55513" w:rsidRPr="00163446">
              <w:rPr>
                <w:color w:val="623B2A"/>
                <w:sz w:val="22"/>
                <w:szCs w:val="22"/>
              </w:rPr>
              <w:t>3</w:t>
            </w:r>
            <w:r w:rsidRPr="00163446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Присвоение, изменение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аннулирование адреса объекта адресации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E43D7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актов приемочной комиссии после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C0178" w:rsidRPr="00163446" w:rsidTr="003911FE">
        <w:tc>
          <w:tcPr>
            <w:tcW w:w="709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178" w:rsidRPr="00163446" w:rsidRDefault="007C017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0178" w:rsidRDefault="007C017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DC3D04" w:rsidRPr="00DC3D04" w:rsidRDefault="00DC3D04" w:rsidP="00DC3D04"/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дней,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ии ау</w:t>
            </w:r>
            <w:proofErr w:type="gram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участка,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752D61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752D61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52D61" w:rsidRPr="00DC3D04" w:rsidRDefault="00752D61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5045F" w:rsidRPr="00163446" w:rsidRDefault="00752D61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 при предоставлении земельного участка: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- члену садоводческого, огороднического или дачного некоммерческого объединения граждан, в случае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было создано или организовано указанное объединение; и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который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общего пользования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6D236E" w:rsidRPr="006D236E" w:rsidRDefault="006D236E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  <w:p w:rsidR="006D236E" w:rsidRPr="006D236E" w:rsidRDefault="006D236E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Передача в безвозмездное пользование объектов  нежилого фонда, находящихся в </w:t>
            </w:r>
            <w:proofErr w:type="gram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муниципальной</w:t>
            </w:r>
            <w:proofErr w:type="gram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собствен-ности</w:t>
            </w:r>
            <w:proofErr w:type="spell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="006D236E" w:rsidRPr="006D236E">
              <w:rPr>
                <w:b/>
                <w:color w:val="993300"/>
                <w:sz w:val="22"/>
                <w:szCs w:val="22"/>
              </w:rPr>
              <w:br/>
            </w:r>
            <w:r w:rsidRPr="006D236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E285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Предоставление правообладателю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предоставления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Предоставление права на размещение нестационарного торгового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объекта, летнего кафе при стационарном предприятии общественного питания без проведения конкурса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40 календарных дней (для получения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разрешения – 20 дней, для заключения договора – 20 дней);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 - при переоформлении договора аренды для размещения нестационарных торговых объектов либо договора на размещение таких объектов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Выдача справки об отсутствии (наличии) задолженности по договору </w:t>
            </w:r>
          </w:p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7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Заключение дополнительного соглашения к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(прекращение) договора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подпунктами 1-7 пункта 4 статьи 23 Земельного кодекса Российской Федерации: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отказе в установлении публичного сервитута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со дня регистрации заявления и пакета документов.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кодекса Российской Федерации»: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>целях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дней со дня регистрации заявления и пакета документов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B34833" w:rsidRPr="00163446" w:rsidTr="003911FE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lastRenderedPageBreak/>
              <w:t>Муниципальные услуги в сфере экономики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Консультационная поддержка субъектов малого и среднего предпринимательства и 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Услуги 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микрофинансовой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организации «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Микрокредитная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компания Ростовский муниципальный фонд поддержки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Консультационная поддержка о предоставлении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микрозаймов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6D236E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6D236E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6D236E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B34833" w:rsidRPr="00163446" w:rsidTr="003911FE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об органах государственной власти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 xml:space="preserve">консультирование (информирование), прием документов,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Федераль-ным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законом от 18 июля 2011 г.  № 223-ФЗ «О закупках товаров, работ, услуг отдельными видами юридических лиц», у субъектов малого и среднего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предпринима-тельства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в текущем году.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6D236E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1F12AE"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регистрации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16 рабочих дней (с </w:t>
            </w:r>
            <w:proofErr w:type="spellStart"/>
            <w:proofErr w:type="gramStart"/>
            <w:r w:rsidRPr="00163446">
              <w:rPr>
                <w:color w:val="623B2A"/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регистрацией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auto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514F49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514F49" w:rsidRPr="006D236E" w:rsidRDefault="003D3ED1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3D3ED1" w:rsidRPr="00163446" w:rsidTr="003911FE">
        <w:tc>
          <w:tcPr>
            <w:tcW w:w="709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 и выдача решения по процедуре ведется по адресу: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0B" w:rsidRDefault="0043650B">
      <w:r>
        <w:separator/>
      </w:r>
    </w:p>
  </w:endnote>
  <w:endnote w:type="continuationSeparator" w:id="0">
    <w:p w:rsidR="0043650B" w:rsidRDefault="0043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FD10B5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04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045F" w:rsidRDefault="008504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FD10B5">
    <w:pPr>
      <w:pStyle w:val="a8"/>
      <w:jc w:val="right"/>
    </w:pPr>
    <w:fldSimple w:instr=" PAGE   \* MERGEFORMAT ">
      <w:r w:rsidR="00245445">
        <w:rPr>
          <w:noProof/>
        </w:rPr>
        <w:t>41</w:t>
      </w:r>
    </w:fldSimple>
  </w:p>
  <w:p w:rsidR="0085045F" w:rsidRDefault="008504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0B" w:rsidRDefault="0043650B">
      <w:r>
        <w:separator/>
      </w:r>
    </w:p>
  </w:footnote>
  <w:footnote w:type="continuationSeparator" w:id="0">
    <w:p w:rsidR="0043650B" w:rsidRDefault="00436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8052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30193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F40"/>
    <w:rsid w:val="00262F3F"/>
    <w:rsid w:val="002637D1"/>
    <w:rsid w:val="00264CB4"/>
    <w:rsid w:val="00267A2B"/>
    <w:rsid w:val="00271679"/>
    <w:rsid w:val="00272159"/>
    <w:rsid w:val="00274CF5"/>
    <w:rsid w:val="00274F4B"/>
    <w:rsid w:val="00275073"/>
    <w:rsid w:val="002750A7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93D"/>
    <w:rsid w:val="00476B8A"/>
    <w:rsid w:val="0048000B"/>
    <w:rsid w:val="00487BBC"/>
    <w:rsid w:val="00487EA0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828"/>
    <w:rsid w:val="00531B6D"/>
    <w:rsid w:val="00532333"/>
    <w:rsid w:val="00533136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2733"/>
    <w:rsid w:val="006533B9"/>
    <w:rsid w:val="0065492A"/>
    <w:rsid w:val="00654CA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72C2E"/>
    <w:rsid w:val="00773036"/>
    <w:rsid w:val="00773613"/>
    <w:rsid w:val="0078011D"/>
    <w:rsid w:val="007810ED"/>
    <w:rsid w:val="00781217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26A6"/>
    <w:rsid w:val="007B38FC"/>
    <w:rsid w:val="007B65F5"/>
    <w:rsid w:val="007B67A1"/>
    <w:rsid w:val="007C0178"/>
    <w:rsid w:val="007C0588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65B9"/>
    <w:rsid w:val="00C56CE0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67E0"/>
    <w:rsid w:val="00DC0B6A"/>
    <w:rsid w:val="00DC1AA8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28FF"/>
    <w:rsid w:val="00DE2C46"/>
    <w:rsid w:val="00DE3171"/>
    <w:rsid w:val="00DE414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34D1"/>
    <w:rsid w:val="00E80ABE"/>
    <w:rsid w:val="00E81952"/>
    <w:rsid w:val="00E8196A"/>
    <w:rsid w:val="00E82355"/>
    <w:rsid w:val="00E8284B"/>
    <w:rsid w:val="00E82A05"/>
    <w:rsid w:val="00E83C5A"/>
    <w:rsid w:val="00E85F8F"/>
    <w:rsid w:val="00E866F5"/>
    <w:rsid w:val="00E87EF3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962C-3D9C-49BE-A19E-B2B7A8A4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8831</Words>
  <Characters>50342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59055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4</cp:revision>
  <cp:lastPrinted>2016-12-06T13:44:00Z</cp:lastPrinted>
  <dcterms:created xsi:type="dcterms:W3CDTF">2021-05-17T06:23:00Z</dcterms:created>
  <dcterms:modified xsi:type="dcterms:W3CDTF">2021-05-27T07:07:00Z</dcterms:modified>
</cp:coreProperties>
</file>