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A0" w:rsidRPr="00AB4814" w:rsidRDefault="007008A0" w:rsidP="00BD3545">
      <w:pPr>
        <w:jc w:val="center"/>
        <w:rPr>
          <w:rFonts w:asciiTheme="majorHAnsi" w:hAnsiTheme="majorHAnsi" w:cstheme="majorHAnsi"/>
          <w:b/>
          <w:color w:val="002060"/>
          <w:sz w:val="26"/>
          <w:szCs w:val="26"/>
        </w:rPr>
      </w:pPr>
      <w:bookmarkStart w:id="0" w:name="_GoBack"/>
      <w:bookmarkEnd w:id="0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Прием заявок от граждан о заключении договора о подключении (технологическом присоединении) газоиспользующего оборудования к сети газораспределения в рамках «</w:t>
      </w:r>
      <w:proofErr w:type="spellStart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догазификации</w:t>
      </w:r>
      <w:proofErr w:type="spellEnd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».</w:t>
      </w:r>
    </w:p>
    <w:p w:rsidR="00FF5F46" w:rsidRPr="00AB4814" w:rsidRDefault="00E66D32" w:rsidP="00EA47E9">
      <w:pPr>
        <w:jc w:val="center"/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</w:pPr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Общие принципы «</w:t>
      </w:r>
      <w:proofErr w:type="spellStart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догазификации</w:t>
      </w:r>
      <w:proofErr w:type="spellEnd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»</w:t>
      </w:r>
      <w:r w:rsidR="00FF5F46" w:rsidRPr="00AB4814"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  <w:t>:</w:t>
      </w:r>
    </w:p>
    <w:p w:rsidR="00FF5F46" w:rsidRPr="00FF5F46" w:rsidRDefault="00FF5F46" w:rsidP="00FF5F46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 w:rsidRPr="00FF5F46">
        <w:rPr>
          <w:color w:val="002060"/>
          <w:sz w:val="26"/>
          <w:szCs w:val="26"/>
        </w:rPr>
        <w:t>Правообладатели земельных участков и расположенных на них домовладений, не подключённых к газу, могут подать заявку на подключение к сетям газораспределения в рамках </w:t>
      </w:r>
      <w:proofErr w:type="spellStart"/>
      <w:r w:rsidRPr="00FF5F46">
        <w:rPr>
          <w:color w:val="002060"/>
          <w:sz w:val="26"/>
          <w:szCs w:val="26"/>
        </w:rPr>
        <w:t>догазификации</w:t>
      </w:r>
      <w:proofErr w:type="spellEnd"/>
      <w:r w:rsidRPr="00FF5F46">
        <w:rPr>
          <w:color w:val="002060"/>
          <w:sz w:val="26"/>
          <w:szCs w:val="26"/>
        </w:rPr>
        <w:t>. Услуга доступна физическим лицам, если их домовладение находится в границах газифицированных населённых пунктов</w:t>
      </w:r>
      <w:r w:rsidR="00985E93">
        <w:rPr>
          <w:color w:val="002060"/>
          <w:sz w:val="26"/>
          <w:szCs w:val="26"/>
        </w:rPr>
        <w:t>.</w:t>
      </w:r>
    </w:p>
    <w:p w:rsidR="00985E93" w:rsidRPr="002934E5" w:rsidRDefault="00E66D32" w:rsidP="00E66D32">
      <w:pPr>
        <w:pStyle w:val="a3"/>
        <w:ind w:left="142"/>
        <w:jc w:val="center"/>
        <w:rPr>
          <w:color w:val="C00000"/>
          <w:sz w:val="26"/>
          <w:szCs w:val="26"/>
        </w:rPr>
      </w:pPr>
      <w:r w:rsidRPr="002934E5">
        <w:rPr>
          <w:rFonts w:asciiTheme="majorHAnsi" w:hAnsiTheme="majorHAnsi" w:cstheme="majorHAnsi"/>
          <w:color w:val="C00000"/>
          <w:sz w:val="26"/>
          <w:szCs w:val="26"/>
        </w:rPr>
        <w:t>! Направление использовани</w:t>
      </w:r>
      <w:r w:rsidR="002934E5" w:rsidRPr="002934E5">
        <w:rPr>
          <w:rFonts w:asciiTheme="majorHAnsi" w:hAnsiTheme="majorHAnsi" w:cstheme="majorHAnsi"/>
          <w:color w:val="C00000"/>
          <w:sz w:val="26"/>
          <w:szCs w:val="26"/>
        </w:rPr>
        <w:t>я</w:t>
      </w:r>
      <w:r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</w:t>
      </w:r>
      <w:r w:rsidR="00985E93" w:rsidRPr="002934E5">
        <w:rPr>
          <w:rFonts w:asciiTheme="majorHAnsi" w:hAnsiTheme="majorHAnsi" w:cstheme="majorHAnsi"/>
          <w:color w:val="C00000"/>
          <w:sz w:val="26"/>
          <w:szCs w:val="26"/>
        </w:rPr>
        <w:t>газ</w:t>
      </w:r>
      <w:r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а </w:t>
      </w:r>
      <w:r w:rsidRPr="009736FB">
        <w:rPr>
          <w:rFonts w:asciiTheme="majorHAnsi" w:hAnsiTheme="majorHAnsi" w:cstheme="majorHAnsi"/>
          <w:b/>
          <w:color w:val="C00000"/>
          <w:sz w:val="26"/>
          <w:szCs w:val="26"/>
        </w:rPr>
        <w:t>только</w:t>
      </w:r>
      <w:r w:rsidR="00985E93" w:rsidRPr="002934E5">
        <w:rPr>
          <w:rFonts w:asciiTheme="majorHAnsi" w:hAnsiTheme="majorHAnsi" w:cstheme="majorHAnsi"/>
          <w:color w:val="C00000"/>
          <w:sz w:val="26"/>
          <w:szCs w:val="26"/>
        </w:rPr>
        <w:t> </w:t>
      </w:r>
      <w:hyperlink r:id="rId5" w:anchor="p53" w:tgtFrame="_blank" w:history="1">
        <w:r w:rsidR="00985E93" w:rsidRPr="002934E5">
          <w:rPr>
            <w:rFonts w:asciiTheme="majorHAnsi" w:hAnsiTheme="majorHAnsi" w:cstheme="majorHAnsi"/>
            <w:color w:val="C00000"/>
            <w:sz w:val="26"/>
            <w:szCs w:val="26"/>
          </w:rPr>
          <w:t>для личных, семейных и домашних нужд</w:t>
        </w:r>
      </w:hyperlink>
      <w:r w:rsidR="00985E93" w:rsidRPr="002934E5">
        <w:rPr>
          <w:rFonts w:asciiTheme="majorHAnsi" w:hAnsiTheme="majorHAnsi" w:cstheme="majorHAnsi"/>
          <w:color w:val="C00000"/>
          <w:sz w:val="26"/>
          <w:szCs w:val="26"/>
        </w:rPr>
        <w:t>. Например, организовать отопление дома или приготовить еду для семьи можно, а открыть в этом доме кафе — нет</w:t>
      </w:r>
      <w:r w:rsidRPr="002934E5">
        <w:rPr>
          <w:color w:val="C00000"/>
          <w:sz w:val="26"/>
          <w:szCs w:val="26"/>
        </w:rPr>
        <w:t>!</w:t>
      </w:r>
    </w:p>
    <w:p w:rsidR="00FF5F46" w:rsidRPr="00FF5F46" w:rsidRDefault="00FF5F46" w:rsidP="00FF5F46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 w:rsidRPr="00FF5F46">
        <w:rPr>
          <w:color w:val="002060"/>
          <w:sz w:val="26"/>
          <w:szCs w:val="26"/>
        </w:rPr>
        <w:t xml:space="preserve">Подведение газа в рамках </w:t>
      </w:r>
      <w:proofErr w:type="spellStart"/>
      <w:r w:rsidRPr="00FF5F46">
        <w:rPr>
          <w:color w:val="002060"/>
          <w:sz w:val="26"/>
          <w:szCs w:val="26"/>
        </w:rPr>
        <w:t>догазификации</w:t>
      </w:r>
      <w:proofErr w:type="spellEnd"/>
      <w:r w:rsidR="002934E5">
        <w:rPr>
          <w:color w:val="002060"/>
          <w:sz w:val="26"/>
          <w:szCs w:val="26"/>
        </w:rPr>
        <w:t xml:space="preserve"> осуществляется</w:t>
      </w:r>
      <w:r w:rsidRPr="00FF5F46">
        <w:rPr>
          <w:color w:val="002060"/>
          <w:sz w:val="26"/>
          <w:szCs w:val="26"/>
        </w:rPr>
        <w:t xml:space="preserve"> бесплатно</w:t>
      </w:r>
      <w:r w:rsidR="00985E93">
        <w:rPr>
          <w:color w:val="002060"/>
          <w:sz w:val="26"/>
          <w:szCs w:val="26"/>
          <w:lang w:val="en-US"/>
        </w:rPr>
        <w:t>:</w:t>
      </w:r>
      <w:r w:rsidRPr="00FF5F46">
        <w:rPr>
          <w:color w:val="002060"/>
          <w:sz w:val="26"/>
          <w:szCs w:val="26"/>
        </w:rPr>
        <w:t xml:space="preserve"> </w:t>
      </w:r>
    </w:p>
    <w:p w:rsidR="00FF5F46" w:rsidRPr="00FF5F46" w:rsidRDefault="00985E93" w:rsidP="00985E93">
      <w:pPr>
        <w:pStyle w:val="a3"/>
        <w:numPr>
          <w:ilvl w:val="0"/>
          <w:numId w:val="5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До границ з</w:t>
      </w:r>
      <w:r w:rsidR="00FF5F46" w:rsidRPr="00FF5F46">
        <w:rPr>
          <w:color w:val="002060"/>
          <w:sz w:val="26"/>
          <w:szCs w:val="26"/>
        </w:rPr>
        <w:t>емельного участка</w:t>
      </w:r>
      <w:r>
        <w:rPr>
          <w:color w:val="002060"/>
          <w:sz w:val="26"/>
          <w:szCs w:val="26"/>
          <w:lang w:val="en-US"/>
        </w:rPr>
        <w:t xml:space="preserve"> </w:t>
      </w:r>
      <w:r>
        <w:rPr>
          <w:color w:val="002060"/>
          <w:sz w:val="26"/>
          <w:szCs w:val="26"/>
        </w:rPr>
        <w:t>на котором, расположено домовладение.</w:t>
      </w:r>
    </w:p>
    <w:p w:rsidR="00FF5F46" w:rsidRPr="00FF5F46" w:rsidRDefault="00985E93" w:rsidP="00985E93">
      <w:pPr>
        <w:pStyle w:val="a3"/>
        <w:numPr>
          <w:ilvl w:val="0"/>
          <w:numId w:val="5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До границ </w:t>
      </w:r>
      <w:r w:rsidR="00FF5F46" w:rsidRPr="00FF5F46">
        <w:rPr>
          <w:color w:val="002060"/>
          <w:sz w:val="26"/>
          <w:szCs w:val="26"/>
        </w:rPr>
        <w:t>СНТ</w:t>
      </w:r>
      <w:r>
        <w:rPr>
          <w:color w:val="002060"/>
          <w:sz w:val="26"/>
          <w:szCs w:val="26"/>
        </w:rPr>
        <w:t xml:space="preserve">, </w:t>
      </w:r>
      <w:r w:rsidR="00FF5F46" w:rsidRPr="00FF5F46">
        <w:rPr>
          <w:color w:val="002060"/>
          <w:sz w:val="26"/>
          <w:szCs w:val="26"/>
        </w:rPr>
        <w:t>ОНТ</w:t>
      </w:r>
      <w:r>
        <w:rPr>
          <w:color w:val="002060"/>
          <w:sz w:val="26"/>
          <w:szCs w:val="26"/>
        </w:rPr>
        <w:t xml:space="preserve"> или ДНТ</w:t>
      </w:r>
      <w:r w:rsidR="00FF5F46" w:rsidRPr="00FF5F46">
        <w:rPr>
          <w:color w:val="002060"/>
          <w:sz w:val="26"/>
          <w:szCs w:val="26"/>
        </w:rPr>
        <w:t>, расположенных в границах населённого пункта</w:t>
      </w:r>
      <w:r>
        <w:rPr>
          <w:color w:val="002060"/>
          <w:sz w:val="26"/>
          <w:szCs w:val="26"/>
        </w:rPr>
        <w:t>.</w:t>
      </w:r>
    </w:p>
    <w:p w:rsidR="00FF5F46" w:rsidRPr="002934E5" w:rsidRDefault="00E66D32" w:rsidP="00E66D32">
      <w:pPr>
        <w:pStyle w:val="a3"/>
        <w:ind w:left="142"/>
        <w:jc w:val="center"/>
        <w:rPr>
          <w:rFonts w:asciiTheme="majorHAnsi" w:hAnsiTheme="majorHAnsi" w:cstheme="majorHAnsi"/>
          <w:color w:val="FF0000"/>
          <w:sz w:val="26"/>
          <w:szCs w:val="26"/>
        </w:rPr>
      </w:pPr>
      <w:r w:rsidRPr="002934E5">
        <w:rPr>
          <w:rFonts w:asciiTheme="majorHAnsi" w:hAnsiTheme="majorHAnsi" w:cstheme="majorHAnsi"/>
          <w:color w:val="FF0000"/>
          <w:sz w:val="26"/>
          <w:szCs w:val="26"/>
        </w:rPr>
        <w:t xml:space="preserve">! </w:t>
      </w:r>
      <w:r w:rsidR="00FF5F46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В рамках </w:t>
      </w:r>
      <w:proofErr w:type="spellStart"/>
      <w:r w:rsidR="00FF5F46" w:rsidRPr="002934E5">
        <w:rPr>
          <w:rFonts w:asciiTheme="majorHAnsi" w:hAnsiTheme="majorHAnsi" w:cstheme="majorHAnsi"/>
          <w:color w:val="C00000"/>
          <w:sz w:val="26"/>
          <w:szCs w:val="26"/>
        </w:rPr>
        <w:t>догазификации</w:t>
      </w:r>
      <w:proofErr w:type="spellEnd"/>
      <w:r w:rsidR="00FF5F46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не осуществляется бесплатное подведение газа до СНТ или ОНТ, расположенных вне границ населённого пункта, а также к домовладениям, расположенным в СНТ</w:t>
      </w:r>
      <w:r w:rsidR="00985E93" w:rsidRPr="002934E5">
        <w:rPr>
          <w:rFonts w:asciiTheme="majorHAnsi" w:hAnsiTheme="majorHAnsi" w:cstheme="majorHAnsi"/>
          <w:color w:val="C00000"/>
          <w:sz w:val="26"/>
          <w:szCs w:val="26"/>
        </w:rPr>
        <w:t>,</w:t>
      </w:r>
      <w:r w:rsidR="00FF5F46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ОНТ</w:t>
      </w:r>
      <w:r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или ДНТ!</w:t>
      </w:r>
    </w:p>
    <w:p w:rsidR="00E66D32" w:rsidRDefault="00017765" w:rsidP="00FF5F46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 w:rsidRPr="00FF5F46">
        <w:rPr>
          <w:color w:val="002060"/>
          <w:sz w:val="26"/>
          <w:szCs w:val="26"/>
        </w:rPr>
        <w:t xml:space="preserve">Собственники домов могут бесплатно заказать подведение газа </w:t>
      </w:r>
      <w:r w:rsidR="00E66D32">
        <w:rPr>
          <w:color w:val="002060"/>
          <w:sz w:val="26"/>
          <w:szCs w:val="26"/>
        </w:rPr>
        <w:t>до</w:t>
      </w:r>
      <w:r w:rsidRPr="00FF5F46">
        <w:rPr>
          <w:color w:val="002060"/>
          <w:sz w:val="26"/>
          <w:szCs w:val="26"/>
        </w:rPr>
        <w:t xml:space="preserve"> границ своего </w:t>
      </w:r>
      <w:r w:rsidR="00E66D32">
        <w:rPr>
          <w:color w:val="002060"/>
          <w:sz w:val="26"/>
          <w:szCs w:val="26"/>
        </w:rPr>
        <w:t xml:space="preserve">земельного </w:t>
      </w:r>
      <w:r w:rsidRPr="00FF5F46">
        <w:rPr>
          <w:color w:val="002060"/>
          <w:sz w:val="26"/>
          <w:szCs w:val="26"/>
        </w:rPr>
        <w:t xml:space="preserve">участка. </w:t>
      </w:r>
    </w:p>
    <w:p w:rsidR="00017765" w:rsidRPr="002934E5" w:rsidRDefault="00E66D32" w:rsidP="00E66D32">
      <w:pPr>
        <w:pStyle w:val="a3"/>
        <w:ind w:left="142"/>
        <w:jc w:val="center"/>
        <w:rPr>
          <w:rFonts w:asciiTheme="majorHAnsi" w:hAnsiTheme="majorHAnsi" w:cstheme="majorHAnsi"/>
          <w:color w:val="C00000"/>
          <w:sz w:val="26"/>
          <w:szCs w:val="26"/>
        </w:rPr>
      </w:pPr>
      <w:r w:rsidRPr="002934E5">
        <w:rPr>
          <w:rFonts w:asciiTheme="majorHAnsi" w:hAnsiTheme="majorHAnsi" w:cstheme="majorHAnsi"/>
          <w:color w:val="C00000"/>
          <w:sz w:val="26"/>
          <w:szCs w:val="26"/>
        </w:rPr>
        <w:t>!</w:t>
      </w:r>
      <w:r w:rsidR="00CD6559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</w:t>
      </w:r>
      <w:r w:rsidR="00017765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Проводку газа в границах участка и подключение оборудования </w:t>
      </w:r>
      <w:r w:rsidRPr="002934E5">
        <w:rPr>
          <w:rFonts w:asciiTheme="majorHAnsi" w:hAnsiTheme="majorHAnsi" w:cstheme="majorHAnsi"/>
          <w:color w:val="C00000"/>
          <w:sz w:val="26"/>
          <w:szCs w:val="26"/>
        </w:rPr>
        <w:t>заявители</w:t>
      </w:r>
      <w:r w:rsidR="00017765" w:rsidRPr="002934E5">
        <w:rPr>
          <w:rFonts w:asciiTheme="majorHAnsi" w:hAnsiTheme="majorHAnsi" w:cstheme="majorHAnsi"/>
          <w:color w:val="C00000"/>
          <w:sz w:val="26"/>
          <w:szCs w:val="26"/>
        </w:rPr>
        <w:t xml:space="preserve"> оплачивают самостоятельно</w:t>
      </w:r>
      <w:r w:rsidRPr="002934E5">
        <w:rPr>
          <w:rFonts w:asciiTheme="majorHAnsi" w:hAnsiTheme="majorHAnsi" w:cstheme="majorHAnsi"/>
          <w:color w:val="C00000"/>
          <w:sz w:val="26"/>
          <w:szCs w:val="26"/>
        </w:rPr>
        <w:t>!</w:t>
      </w:r>
    </w:p>
    <w:p w:rsidR="00FF5F46" w:rsidRPr="00E66D32" w:rsidRDefault="00FF5F46" w:rsidP="00A21D59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 w:rsidRPr="00E66D32">
        <w:rPr>
          <w:color w:val="002060"/>
          <w:sz w:val="26"/>
          <w:szCs w:val="26"/>
        </w:rPr>
        <w:t>Стоимость проведения газа внутри участка зависит от объёма работ</w:t>
      </w:r>
      <w:r w:rsidR="00E66D32" w:rsidRPr="00E66D32">
        <w:rPr>
          <w:color w:val="002060"/>
          <w:sz w:val="26"/>
          <w:szCs w:val="26"/>
        </w:rPr>
        <w:t>:</w:t>
      </w:r>
      <w:r w:rsidRPr="00E66D32">
        <w:rPr>
          <w:color w:val="002060"/>
          <w:sz w:val="26"/>
          <w:szCs w:val="26"/>
        </w:rPr>
        <w:t xml:space="preserve"> какой длины будет газопровод</w:t>
      </w:r>
      <w:r w:rsidR="00E66D32" w:rsidRPr="00E66D32">
        <w:rPr>
          <w:color w:val="002060"/>
          <w:sz w:val="26"/>
          <w:szCs w:val="26"/>
        </w:rPr>
        <w:t>,</w:t>
      </w:r>
      <w:r w:rsidRPr="00E66D32">
        <w:rPr>
          <w:color w:val="002060"/>
          <w:sz w:val="26"/>
          <w:szCs w:val="26"/>
        </w:rPr>
        <w:t xml:space="preserve"> каким способом он будет проложен</w:t>
      </w:r>
      <w:r w:rsidR="00E66D32" w:rsidRPr="00E66D32">
        <w:rPr>
          <w:color w:val="002060"/>
          <w:sz w:val="26"/>
          <w:szCs w:val="26"/>
        </w:rPr>
        <w:t>, т.д.</w:t>
      </w:r>
      <w:r w:rsidRPr="00E66D32">
        <w:rPr>
          <w:color w:val="002060"/>
          <w:sz w:val="26"/>
          <w:szCs w:val="26"/>
        </w:rPr>
        <w:t xml:space="preserve"> При этом стоимость проводки газа внутри участка силами газораспределительной организации регулируется государством. Если хотите воспользоваться сторонней организацией, такие услуги оказываются на договорной основе. </w:t>
      </w:r>
    </w:p>
    <w:p w:rsidR="00FF5F46" w:rsidRPr="00FF5F46" w:rsidRDefault="00FF5F46" w:rsidP="00FF5F46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Рассчитать стоимость подключения можно на сайте </w:t>
      </w:r>
      <w:r w:rsidRPr="00FF5F46">
        <w:rPr>
          <w:color w:val="0070C0"/>
          <w:sz w:val="26"/>
          <w:szCs w:val="26"/>
        </w:rPr>
        <w:t>https://connectgas.ru/calculator</w:t>
      </w:r>
    </w:p>
    <w:p w:rsidR="00FF5F46" w:rsidRDefault="00FF5F46" w:rsidP="00FF5F46">
      <w:pPr>
        <w:pStyle w:val="a3"/>
        <w:numPr>
          <w:ilvl w:val="0"/>
          <w:numId w:val="3"/>
        </w:numPr>
        <w:ind w:left="142" w:hanging="436"/>
        <w:jc w:val="both"/>
        <w:rPr>
          <w:color w:val="002060"/>
          <w:sz w:val="26"/>
          <w:szCs w:val="26"/>
        </w:rPr>
      </w:pPr>
      <w:r w:rsidRPr="00FF5F46">
        <w:rPr>
          <w:color w:val="002060"/>
          <w:sz w:val="26"/>
          <w:szCs w:val="26"/>
        </w:rPr>
        <w:t>Всё внутридомовое газовое оборудование — плиту, котёл, водонагреватель — собственник выбирает и приобретает самостоятельно. При необходимости газораспределительные организации помогут подобрать оборудование</w:t>
      </w:r>
      <w:r w:rsidR="00E66D32">
        <w:rPr>
          <w:color w:val="002060"/>
          <w:sz w:val="26"/>
          <w:szCs w:val="26"/>
        </w:rPr>
        <w:t>.</w:t>
      </w:r>
    </w:p>
    <w:p w:rsidR="00997B9C" w:rsidRPr="00AB4814" w:rsidRDefault="00997B9C" w:rsidP="00EA47E9">
      <w:pPr>
        <w:jc w:val="center"/>
        <w:rPr>
          <w:rFonts w:asciiTheme="majorHAnsi" w:hAnsiTheme="majorHAnsi" w:cstheme="majorHAnsi"/>
          <w:b/>
          <w:color w:val="002060"/>
          <w:sz w:val="26"/>
          <w:szCs w:val="26"/>
        </w:rPr>
      </w:pPr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Основные термины «</w:t>
      </w:r>
      <w:proofErr w:type="spellStart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догазификации</w:t>
      </w:r>
      <w:proofErr w:type="spellEnd"/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»:</w:t>
      </w:r>
    </w:p>
    <w:p w:rsidR="00997B9C" w:rsidRDefault="00997B9C" w:rsidP="00997B9C">
      <w:pPr>
        <w:jc w:val="both"/>
        <w:rPr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Заявитель</w:t>
      </w:r>
      <w:r w:rsidRPr="00BD3545">
        <w:rPr>
          <w:color w:val="002060"/>
          <w:sz w:val="26"/>
          <w:szCs w:val="26"/>
        </w:rPr>
        <w:t xml:space="preserve"> - физическое лицо, намеренное осуществить подключение (технологическое присоединение), в том числе фактическое присоединение к газораспределительным сетям </w:t>
      </w:r>
      <w:proofErr w:type="spellStart"/>
      <w:r w:rsidRPr="00BD3545">
        <w:rPr>
          <w:color w:val="002060"/>
          <w:sz w:val="26"/>
          <w:szCs w:val="26"/>
        </w:rPr>
        <w:t>газоиспользуещего</w:t>
      </w:r>
      <w:proofErr w:type="spellEnd"/>
      <w:r w:rsidRPr="00BD3545">
        <w:rPr>
          <w:color w:val="002060"/>
          <w:sz w:val="26"/>
          <w:szCs w:val="26"/>
        </w:rPr>
        <w:t xml:space="preserve"> оборудования, расположенного в домовладениях, принадлежащих физическим лицам на праве собственности или на ином предусмотренном законом праве в целях использования газа для удовлетворения личных, семейных домашних и иных нужд, не связанных с осуществлением предпринимательской (профессиональной) деятельности.</w:t>
      </w:r>
    </w:p>
    <w:p w:rsidR="00997B9C" w:rsidRPr="000429C4" w:rsidRDefault="00997B9C" w:rsidP="00997B9C">
      <w:pPr>
        <w:jc w:val="both"/>
        <w:rPr>
          <w:color w:val="002060"/>
          <w:sz w:val="26"/>
          <w:szCs w:val="26"/>
          <w:lang w:val="en-US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Исполнитель(ГРО)</w:t>
      </w:r>
      <w:r w:rsidRPr="00017765">
        <w:rPr>
          <w:color w:val="002060"/>
          <w:sz w:val="26"/>
          <w:szCs w:val="26"/>
        </w:rPr>
        <w:t xml:space="preserve">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 (технологическое присоединение) объекта капитального строительства или се</w:t>
      </w:r>
      <w:r>
        <w:rPr>
          <w:color w:val="002060"/>
          <w:sz w:val="26"/>
          <w:szCs w:val="26"/>
        </w:rPr>
        <w:t xml:space="preserve">ти газораспределения </w:t>
      </w:r>
      <w:r>
        <w:rPr>
          <w:color w:val="002060"/>
          <w:sz w:val="26"/>
          <w:szCs w:val="26"/>
        </w:rPr>
        <w:lastRenderedPageBreak/>
        <w:t>заявителей.</w:t>
      </w:r>
      <w:r w:rsidR="000429C4">
        <w:rPr>
          <w:color w:val="002060"/>
          <w:sz w:val="26"/>
          <w:szCs w:val="26"/>
          <w:lang w:val="en-US"/>
        </w:rPr>
        <w:t xml:space="preserve"> </w:t>
      </w:r>
      <w:r w:rsidR="000429C4">
        <w:rPr>
          <w:color w:val="002060"/>
          <w:sz w:val="26"/>
          <w:szCs w:val="26"/>
        </w:rPr>
        <w:t xml:space="preserve">В том числе </w:t>
      </w:r>
      <w:r w:rsidR="000429C4" w:rsidRPr="000429C4">
        <w:rPr>
          <w:color w:val="002060"/>
          <w:sz w:val="26"/>
          <w:szCs w:val="26"/>
        </w:rPr>
        <w:t>— это специализированная компания, отвечающая за эксплуатацию газораспределительной системы и транспортировку природного газа до потребителей. Именно ГРО поддерживают надежность действующих и строительство новых сетей, отвечают за присоединение домов к газу.</w:t>
      </w:r>
    </w:p>
    <w:p w:rsidR="00997B9C" w:rsidRDefault="00997B9C" w:rsidP="00997B9C">
      <w:pPr>
        <w:jc w:val="both"/>
        <w:rPr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Личный кабинет</w:t>
      </w:r>
      <w:r>
        <w:rPr>
          <w:color w:val="002060"/>
          <w:sz w:val="26"/>
          <w:szCs w:val="26"/>
        </w:rPr>
        <w:t xml:space="preserve"> </w:t>
      </w:r>
      <w:r w:rsidRPr="00985E93">
        <w:rPr>
          <w:color w:val="002060"/>
          <w:sz w:val="26"/>
          <w:szCs w:val="26"/>
        </w:rPr>
        <w:t>-</w:t>
      </w:r>
      <w:r w:rsidR="002934E5">
        <w:rPr>
          <w:color w:val="002060"/>
          <w:sz w:val="26"/>
          <w:szCs w:val="26"/>
        </w:rPr>
        <w:t xml:space="preserve"> </w:t>
      </w:r>
      <w:r w:rsidRPr="00985E93">
        <w:rPr>
          <w:color w:val="002060"/>
          <w:sz w:val="26"/>
          <w:szCs w:val="26"/>
        </w:rPr>
        <w:t>личный кабинет заявителя на портале единого оператора газификации Connectgas.ru</w:t>
      </w:r>
    </w:p>
    <w:p w:rsidR="00997B9C" w:rsidRDefault="00997B9C" w:rsidP="00997B9C">
      <w:pPr>
        <w:jc w:val="both"/>
        <w:rPr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Договор</w:t>
      </w:r>
      <w:r w:rsidR="002934E5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–</w:t>
      </w:r>
      <w:r w:rsidRPr="001223FB">
        <w:rPr>
          <w:color w:val="002060"/>
          <w:sz w:val="26"/>
          <w:szCs w:val="26"/>
        </w:rPr>
        <w:t xml:space="preserve"> заявитель выбрал мероприятия по технологическому присоединению при формировании заявки до границ ЗУ. В этом случае, заявителю необходимо заключить дополнительный договор на выполнение рабо</w:t>
      </w:r>
      <w:r>
        <w:rPr>
          <w:color w:val="002060"/>
          <w:sz w:val="26"/>
          <w:szCs w:val="26"/>
        </w:rPr>
        <w:t xml:space="preserve">т в границах ЗУ и домовладения </w:t>
      </w:r>
      <w:r w:rsidRPr="001223FB">
        <w:rPr>
          <w:color w:val="002060"/>
          <w:sz w:val="26"/>
          <w:szCs w:val="26"/>
        </w:rPr>
        <w:t>(с подключением внутридомового газового оборудования) со специализированной организацией либо Исполнителем (ГРО).</w:t>
      </w:r>
    </w:p>
    <w:p w:rsidR="00997B9C" w:rsidRDefault="00997B9C" w:rsidP="00997B9C">
      <w:pPr>
        <w:jc w:val="both"/>
        <w:rPr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Комплексный договор</w:t>
      </w:r>
      <w:r>
        <w:rPr>
          <w:rFonts w:ascii="Calibri" w:hAnsi="Calibri" w:cs="Calibri"/>
          <w:color w:val="002060"/>
          <w:sz w:val="26"/>
          <w:szCs w:val="26"/>
        </w:rPr>
        <w:t xml:space="preserve"> – заявитель выбрал комплекс мероприятия по технологическому присоединению «под ключ», все мероприятия проводятся Исполнителем (ГРО)</w:t>
      </w:r>
      <w:r w:rsidR="002934E5">
        <w:rPr>
          <w:rFonts w:ascii="Calibri" w:hAnsi="Calibri" w:cs="Calibri"/>
          <w:color w:val="002060"/>
          <w:sz w:val="26"/>
          <w:szCs w:val="26"/>
        </w:rPr>
        <w:t xml:space="preserve"> «под ключ»</w:t>
      </w:r>
      <w:r>
        <w:rPr>
          <w:rFonts w:ascii="Calibri" w:hAnsi="Calibri" w:cs="Calibri"/>
          <w:color w:val="002060"/>
          <w:sz w:val="26"/>
          <w:szCs w:val="26"/>
        </w:rPr>
        <w:t>.</w:t>
      </w:r>
    </w:p>
    <w:p w:rsidR="00997B9C" w:rsidRDefault="00997B9C" w:rsidP="00997B9C">
      <w:pPr>
        <w:jc w:val="both"/>
        <w:rPr>
          <w:color w:val="002060"/>
          <w:sz w:val="26"/>
          <w:szCs w:val="26"/>
        </w:rPr>
      </w:pPr>
    </w:p>
    <w:p w:rsidR="00997B9C" w:rsidRPr="00BD3545" w:rsidRDefault="00997B9C" w:rsidP="00997B9C">
      <w:pPr>
        <w:jc w:val="both"/>
        <w:rPr>
          <w:color w:val="002060"/>
          <w:sz w:val="26"/>
          <w:szCs w:val="26"/>
        </w:rPr>
      </w:pPr>
    </w:p>
    <w:p w:rsidR="00997B9C" w:rsidRPr="00BD3545" w:rsidRDefault="00997B9C" w:rsidP="00997B9C">
      <w:pPr>
        <w:jc w:val="center"/>
        <w:rPr>
          <w:color w:val="002060"/>
          <w:sz w:val="26"/>
          <w:szCs w:val="26"/>
        </w:rPr>
      </w:pPr>
      <w:r w:rsidRPr="00BD3545">
        <w:rPr>
          <w:noProof/>
          <w:color w:val="002060"/>
          <w:sz w:val="26"/>
          <w:szCs w:val="26"/>
          <w:lang w:eastAsia="ru-RU"/>
        </w:rPr>
        <w:drawing>
          <wp:inline distT="0" distB="0" distL="0" distR="0" wp14:anchorId="3F8F0B5F" wp14:editId="6DB41ECA">
            <wp:extent cx="5940425" cy="4321891"/>
            <wp:effectExtent l="0" t="0" r="3175" b="2540"/>
            <wp:docPr id="1" name="Рисунок 1" descr="C:\Users\D.Fedoseev\Desktop\В работе\МР\510eb3e4-31f7-4fa3-991b-57ea9fd6a48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Fedoseev\Desktop\В работе\МР\510eb3e4-31f7-4fa3-991b-57ea9fd6a48b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9C" w:rsidRDefault="00997B9C" w:rsidP="00997B9C">
      <w:pPr>
        <w:jc w:val="both"/>
        <w:rPr>
          <w:b/>
          <w:color w:val="002060"/>
          <w:sz w:val="26"/>
          <w:szCs w:val="26"/>
          <w:u w:val="single"/>
        </w:rPr>
      </w:pPr>
    </w:p>
    <w:p w:rsidR="00E66D32" w:rsidRPr="0096004B" w:rsidRDefault="00E66D32" w:rsidP="00E66D32">
      <w:pPr>
        <w:pStyle w:val="a3"/>
        <w:ind w:left="142"/>
        <w:jc w:val="both"/>
        <w:rPr>
          <w:color w:val="002060"/>
          <w:sz w:val="26"/>
          <w:szCs w:val="26"/>
        </w:rPr>
      </w:pPr>
    </w:p>
    <w:p w:rsidR="00EA47E9" w:rsidRDefault="00EA47E9" w:rsidP="00E66D32">
      <w:pPr>
        <w:jc w:val="both"/>
        <w:rPr>
          <w:b/>
          <w:color w:val="002060"/>
          <w:sz w:val="26"/>
          <w:szCs w:val="26"/>
          <w:u w:val="single"/>
        </w:rPr>
      </w:pPr>
    </w:p>
    <w:p w:rsidR="00EA47E9" w:rsidRDefault="00EA47E9" w:rsidP="00E66D32">
      <w:pPr>
        <w:jc w:val="both"/>
        <w:rPr>
          <w:b/>
          <w:color w:val="002060"/>
          <w:sz w:val="26"/>
          <w:szCs w:val="26"/>
          <w:u w:val="single"/>
        </w:rPr>
      </w:pPr>
    </w:p>
    <w:p w:rsidR="00EA47E9" w:rsidRDefault="00EA47E9" w:rsidP="00E66D32">
      <w:pPr>
        <w:jc w:val="both"/>
        <w:rPr>
          <w:b/>
          <w:color w:val="002060"/>
          <w:sz w:val="26"/>
          <w:szCs w:val="26"/>
          <w:u w:val="single"/>
        </w:rPr>
      </w:pPr>
    </w:p>
    <w:p w:rsidR="00E66D32" w:rsidRPr="002934E5" w:rsidRDefault="00E66D32" w:rsidP="00EA47E9">
      <w:pPr>
        <w:jc w:val="center"/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Документы, предоставляемые заявителем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  <w:t>: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1.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Документ, удостоверяющий личность</w:t>
      </w:r>
      <w:r w:rsidRPr="00BD3545">
        <w:rPr>
          <w:color w:val="002060"/>
          <w:sz w:val="26"/>
          <w:szCs w:val="26"/>
        </w:rPr>
        <w:t>:</w:t>
      </w:r>
    </w:p>
    <w:p w:rsidR="00E66D32" w:rsidRPr="00BD3545" w:rsidRDefault="00E66D32" w:rsidP="00E66D32">
      <w:pPr>
        <w:jc w:val="both"/>
        <w:rPr>
          <w:color w:val="002060"/>
          <w:sz w:val="26"/>
          <w:szCs w:val="26"/>
        </w:rPr>
      </w:pPr>
      <w:r w:rsidRPr="00677EDF">
        <w:rPr>
          <w:color w:val="002060"/>
          <w:sz w:val="26"/>
          <w:szCs w:val="26"/>
          <w:u w:val="single"/>
        </w:rPr>
        <w:t>для граждан РФ</w:t>
      </w:r>
      <w:r w:rsidRPr="00BD3545">
        <w:rPr>
          <w:color w:val="002060"/>
          <w:sz w:val="26"/>
          <w:szCs w:val="26"/>
        </w:rPr>
        <w:t xml:space="preserve"> - паспорт гражданина РФ или иной документ, удостоверяющий личность гражданина РФ на территории РФ.</w:t>
      </w:r>
    </w:p>
    <w:p w:rsidR="00E66D32" w:rsidRPr="00BD3545" w:rsidRDefault="00E66D32" w:rsidP="00E66D32">
      <w:pPr>
        <w:jc w:val="both"/>
        <w:rPr>
          <w:color w:val="002060"/>
          <w:sz w:val="26"/>
          <w:szCs w:val="26"/>
        </w:rPr>
      </w:pPr>
      <w:r w:rsidRPr="00677EDF">
        <w:rPr>
          <w:color w:val="002060"/>
          <w:sz w:val="26"/>
          <w:szCs w:val="26"/>
          <w:u w:val="single"/>
        </w:rPr>
        <w:t>для иностранных граждан</w:t>
      </w:r>
      <w:r>
        <w:rPr>
          <w:color w:val="002060"/>
          <w:sz w:val="26"/>
          <w:szCs w:val="26"/>
        </w:rPr>
        <w:t xml:space="preserve"> (</w:t>
      </w:r>
      <w:r w:rsidRPr="00BD3545">
        <w:rPr>
          <w:b/>
          <w:color w:val="002060"/>
          <w:szCs w:val="26"/>
        </w:rPr>
        <w:t>только при наличии СНИЛС</w:t>
      </w:r>
      <w:r>
        <w:rPr>
          <w:color w:val="002060"/>
          <w:sz w:val="26"/>
          <w:szCs w:val="26"/>
        </w:rPr>
        <w:t>)</w:t>
      </w:r>
      <w:r w:rsidRPr="00BD3545">
        <w:rPr>
          <w:color w:val="002060"/>
          <w:sz w:val="26"/>
          <w:szCs w:val="26"/>
        </w:rPr>
        <w:t xml:space="preserve"> – паспорт иностранного гражданина или иной документ, удостоверяющий личность иностранного гражданина на территории РФ. Все документы представляются на русском языке или вместе с нотариально заверенным переводом на русский язык. </w:t>
      </w:r>
    </w:p>
    <w:p w:rsidR="00E66D32" w:rsidRPr="00BD3545" w:rsidRDefault="00E66D32" w:rsidP="00E66D32">
      <w:pPr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Запрашивается с целью идентификации личности заявителя (представителя), в электронное дело не сканируется.  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2.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Документ, подтверждающий полномочия представителя заявителя</w:t>
      </w:r>
    </w:p>
    <w:p w:rsidR="00E66D32" w:rsidRPr="00BD3545" w:rsidRDefault="00E66D32" w:rsidP="00E66D32">
      <w:pPr>
        <w:ind w:firstLine="284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>2.1. Доверенность, подтверждающая право представителя заявителя действовать от имени заявителя, оформленная в соответствии с требованиями Гражданского кодекса Российской Федерации и подтверждающая наличие у представителя прав действовать от лица Заявителя и определяющая условия и границы реализации права на получение услуги. Для физического лица - простая письменная форма (образец) (оригинал) или нотариальная доверенность (оригинал).</w:t>
      </w:r>
    </w:p>
    <w:p w:rsidR="00E66D32" w:rsidRPr="00BD3545" w:rsidRDefault="00E66D32" w:rsidP="00E66D32">
      <w:pPr>
        <w:ind w:firstLine="284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>2.2. Для законного представителя (опекун, попечитель): документ, подтверждающий право законного представителя выступать от имени Заявителя (свидетельство о рождении; решение органа опеки и попечительства о назначении опекуна (попечителя).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3.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Заявка о заключении договора о подключении</w:t>
      </w:r>
      <w:r w:rsidRPr="00BD3545">
        <w:rPr>
          <w:color w:val="002060"/>
          <w:sz w:val="26"/>
          <w:szCs w:val="26"/>
        </w:rPr>
        <w:t xml:space="preserve"> (технологическом присоединении) газоиспользующего оборудования к сети газораспределения в рамках </w:t>
      </w:r>
      <w:proofErr w:type="spellStart"/>
      <w:r w:rsidRPr="00BD3545">
        <w:rPr>
          <w:color w:val="002060"/>
          <w:sz w:val="26"/>
          <w:szCs w:val="26"/>
        </w:rPr>
        <w:t>догазификации</w:t>
      </w:r>
      <w:proofErr w:type="spellEnd"/>
      <w:r w:rsidRPr="00BD3545">
        <w:rPr>
          <w:color w:val="002060"/>
          <w:sz w:val="26"/>
          <w:szCs w:val="26"/>
        </w:rPr>
        <w:t xml:space="preserve">. В заявке указываются реквизиты заявителя (фамилия, имя, отчество (при наличии), серия, номер и дата выдачи, наименование органа, выдавшего документ, удостоверяющий личность, почтовый адрес, контактный телефон, адрес электронной почты (при наличии), место нахождения домовладения, планируемого к газификации, кадастровый номер земельного участка, ИНН, СНИЛС. Образец заполненной заявки. Сканируется в электронное дело.   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4.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Документ, подтверждающий право собственности или иное предусмотренное законом право на домовладение</w:t>
      </w:r>
      <w:r w:rsidRPr="00BD3545">
        <w:rPr>
          <w:color w:val="002060"/>
          <w:sz w:val="26"/>
          <w:szCs w:val="26"/>
        </w:rPr>
        <w:t xml:space="preserve"> (объект индивидуального жилищного строительства или часть жилого дома блокированной застройки) (выписка ЕГРН или свидетельство о государственной регистрации права) (оригинал).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>5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  <w:u w:val="single"/>
        </w:rPr>
        <w:t>.</w:t>
      </w:r>
      <w:r w:rsidRPr="009736FB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 Документ, подтверждающий право собственности или иное предусмотренное законом право на земельный участок</w:t>
      </w:r>
      <w:r w:rsidRPr="009736FB">
        <w:rPr>
          <w:color w:val="002060"/>
          <w:sz w:val="26"/>
          <w:szCs w:val="26"/>
        </w:rPr>
        <w:t>,</w:t>
      </w:r>
      <w:r w:rsidRPr="00BD3545">
        <w:rPr>
          <w:color w:val="002060"/>
          <w:sz w:val="26"/>
          <w:szCs w:val="26"/>
        </w:rPr>
        <w:t xml:space="preserve"> на котором расположено домовладение заявителя (выписка ЕГРН или свидетельство о государственной регистрации права) (оригинал).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6.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Ситуационный план расположения земельного участка</w:t>
      </w:r>
      <w:r w:rsidRPr="00BD3545">
        <w:rPr>
          <w:color w:val="002060"/>
          <w:sz w:val="26"/>
          <w:szCs w:val="26"/>
        </w:rPr>
        <w:t xml:space="preserve"> с привязкой к территории населенного пункта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7.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Расчет максимального часового расхода газа</w:t>
      </w:r>
      <w:r w:rsidRPr="00BD3545">
        <w:rPr>
          <w:color w:val="002060"/>
          <w:sz w:val="26"/>
          <w:szCs w:val="26"/>
        </w:rPr>
        <w:t xml:space="preserve"> (не прилагается, если планируемый максимальный часовой расход газа не более 7 куб. метров).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8.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Соглас</w:t>
      </w:r>
      <w:r w:rsidR="002934E5"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ие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 всех сособственников</w:t>
      </w:r>
      <w:r w:rsidRPr="00BD3545">
        <w:rPr>
          <w:color w:val="002060"/>
          <w:sz w:val="26"/>
          <w:szCs w:val="26"/>
        </w:rPr>
        <w:t xml:space="preserve"> объекта капитального строительства и/или сособственников земельного участка, в случае,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  <w:u w:val="single"/>
        </w:rPr>
        <w:t>когда объект</w:t>
      </w:r>
      <w:r w:rsidRPr="00BD3545">
        <w:rPr>
          <w:color w:val="002060"/>
          <w:sz w:val="26"/>
          <w:szCs w:val="26"/>
        </w:rPr>
        <w:t xml:space="preserve"> капитального строительства и/или земельный участок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  <w:u w:val="single"/>
        </w:rPr>
        <w:t>находятся в долевой собственности</w:t>
      </w:r>
      <w:r w:rsidRPr="00BD3545">
        <w:rPr>
          <w:color w:val="002060"/>
          <w:sz w:val="26"/>
          <w:szCs w:val="26"/>
        </w:rPr>
        <w:t xml:space="preserve"> с приложением документов, подтверждающих право долевой собственности (оригинал).</w:t>
      </w:r>
    </w:p>
    <w:p w:rsidR="00E66D32" w:rsidRPr="00BD3545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9.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Документы, подтверждающие изменения в персональных данных заявителя</w:t>
      </w:r>
      <w:r w:rsidRPr="00BD3545">
        <w:rPr>
          <w:color w:val="002060"/>
          <w:sz w:val="26"/>
          <w:szCs w:val="26"/>
          <w:u w:val="single"/>
        </w:rPr>
        <w:t>.</w:t>
      </w:r>
    </w:p>
    <w:p w:rsidR="00E66D32" w:rsidRDefault="00E66D32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 xml:space="preserve">10. 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Согласие на обработку персональных данных</w:t>
      </w:r>
      <w:r w:rsidRPr="00BD3545">
        <w:rPr>
          <w:color w:val="002060"/>
          <w:sz w:val="26"/>
          <w:szCs w:val="26"/>
        </w:rPr>
        <w:t xml:space="preserve"> от лиц, указанных в пункте</w:t>
      </w:r>
      <w:r w:rsidR="002934E5">
        <w:rPr>
          <w:color w:val="002060"/>
          <w:sz w:val="26"/>
          <w:szCs w:val="26"/>
        </w:rPr>
        <w:t xml:space="preserve"> 2 и</w:t>
      </w:r>
      <w:r w:rsidRPr="00BD3545">
        <w:rPr>
          <w:color w:val="002060"/>
          <w:sz w:val="26"/>
          <w:szCs w:val="26"/>
        </w:rPr>
        <w:t xml:space="preserve"> 8 (сособственников).</w:t>
      </w:r>
    </w:p>
    <w:p w:rsidR="0096004B" w:rsidRPr="002934E5" w:rsidRDefault="00BD3545" w:rsidP="00EA47E9">
      <w:pPr>
        <w:ind w:firstLine="142"/>
        <w:jc w:val="center"/>
        <w:rPr>
          <w:rFonts w:asciiTheme="majorHAnsi" w:hAnsiTheme="majorHAnsi" w:cstheme="majorHAnsi"/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Срок оказания услуги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  <w:t>:</w:t>
      </w:r>
    </w:p>
    <w:p w:rsidR="00BD3545" w:rsidRDefault="00BD3545" w:rsidP="00E66D32">
      <w:pPr>
        <w:ind w:firstLine="142"/>
        <w:jc w:val="both"/>
        <w:rPr>
          <w:color w:val="002060"/>
          <w:sz w:val="26"/>
          <w:szCs w:val="26"/>
        </w:rPr>
      </w:pPr>
      <w:r w:rsidRPr="00BD3545">
        <w:rPr>
          <w:color w:val="002060"/>
          <w:sz w:val="26"/>
          <w:szCs w:val="26"/>
        </w:rPr>
        <w:t>При представлении заявителем сведений и документов в полном объеме исполнитель направляет заявителю подписанный со своей стороны проект договора о подключении в течение 30 дней со дня подачи заявки</w:t>
      </w:r>
    </w:p>
    <w:p w:rsidR="00677EDF" w:rsidRPr="002934E5" w:rsidRDefault="00677EDF" w:rsidP="00EA47E9">
      <w:pPr>
        <w:ind w:firstLine="142"/>
        <w:jc w:val="center"/>
        <w:rPr>
          <w:rFonts w:asciiTheme="majorHAnsi" w:hAnsiTheme="majorHAnsi" w:cstheme="majorHAnsi"/>
          <w:b/>
          <w:color w:val="002060"/>
          <w:sz w:val="26"/>
          <w:szCs w:val="26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Результат предоставления услуги:</w:t>
      </w:r>
    </w:p>
    <w:p w:rsidR="00677EDF" w:rsidRDefault="00677EDF" w:rsidP="00E66D32">
      <w:pPr>
        <w:ind w:firstLine="142"/>
        <w:jc w:val="both"/>
        <w:rPr>
          <w:color w:val="002060"/>
          <w:sz w:val="26"/>
          <w:szCs w:val="26"/>
          <w:lang w:val="en-US"/>
        </w:rPr>
      </w:pPr>
      <w:r w:rsidRPr="00677EDF">
        <w:rPr>
          <w:color w:val="002060"/>
          <w:sz w:val="26"/>
          <w:szCs w:val="26"/>
        </w:rPr>
        <w:t>Результатом рассмотрения заявки является подготовка и направление заявителю подписанного проекта договора о подключении (технологическом присоединении) газоиспользующего оборудования к сети газораспределения в рамках «</w:t>
      </w:r>
      <w:proofErr w:type="spellStart"/>
      <w:r w:rsidRPr="00677EDF">
        <w:rPr>
          <w:color w:val="002060"/>
          <w:sz w:val="26"/>
          <w:szCs w:val="26"/>
        </w:rPr>
        <w:t>догазификации</w:t>
      </w:r>
      <w:proofErr w:type="spellEnd"/>
      <w:r w:rsidRPr="00677EDF">
        <w:rPr>
          <w:color w:val="002060"/>
          <w:sz w:val="26"/>
          <w:szCs w:val="26"/>
        </w:rPr>
        <w:t>» в 3 экземплярах</w:t>
      </w:r>
      <w:r>
        <w:rPr>
          <w:color w:val="002060"/>
          <w:sz w:val="26"/>
          <w:szCs w:val="26"/>
        </w:rPr>
        <w:t>.</w:t>
      </w:r>
      <w:r w:rsidRPr="00677EDF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Подписание договора производится способом указанном в заявке (</w:t>
      </w:r>
      <w:proofErr w:type="spellStart"/>
      <w:r>
        <w:rPr>
          <w:color w:val="002060"/>
          <w:sz w:val="26"/>
          <w:szCs w:val="26"/>
        </w:rPr>
        <w:t>электронно</w:t>
      </w:r>
      <w:proofErr w:type="spellEnd"/>
      <w:r>
        <w:rPr>
          <w:color w:val="002060"/>
          <w:sz w:val="26"/>
          <w:szCs w:val="26"/>
        </w:rPr>
        <w:t xml:space="preserve"> или письменно). Электронное подписание договора осуществляется в личном кабинете по портале единого оператора газификации </w:t>
      </w:r>
      <w:r>
        <w:rPr>
          <w:color w:val="002060"/>
          <w:sz w:val="26"/>
          <w:szCs w:val="26"/>
          <w:lang w:val="en-US"/>
        </w:rPr>
        <w:t xml:space="preserve">Connectgas.ru. </w:t>
      </w:r>
    </w:p>
    <w:p w:rsidR="00677EDF" w:rsidRPr="00677EDF" w:rsidRDefault="00677EDF" w:rsidP="00E66D32">
      <w:pPr>
        <w:ind w:firstLine="142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Сроки и стоимость реализации мероприятий указываются в договоре.</w:t>
      </w:r>
    </w:p>
    <w:p w:rsidR="00BD3545" w:rsidRPr="002934E5" w:rsidRDefault="0096004B" w:rsidP="0096004B">
      <w:pPr>
        <w:ind w:firstLine="142"/>
        <w:jc w:val="center"/>
        <w:rPr>
          <w:color w:val="C00000"/>
          <w:sz w:val="26"/>
          <w:szCs w:val="26"/>
        </w:rPr>
      </w:pPr>
      <w:r w:rsidRPr="002934E5">
        <w:rPr>
          <w:color w:val="C00000"/>
          <w:sz w:val="26"/>
          <w:szCs w:val="26"/>
        </w:rPr>
        <w:t xml:space="preserve">! </w:t>
      </w:r>
      <w:r w:rsidR="00B852EE" w:rsidRPr="002934E5">
        <w:rPr>
          <w:color w:val="C00000"/>
          <w:sz w:val="26"/>
          <w:szCs w:val="26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пунктами 3-10 (далее – несоответствующий комплект документов), работник МФЦ разъясняет заявителю содержание недостатков, выявленных в документах, предлагает принять меры по их устранению и обрати</w:t>
      </w:r>
      <w:r w:rsidRPr="002934E5">
        <w:rPr>
          <w:color w:val="C00000"/>
          <w:sz w:val="26"/>
          <w:szCs w:val="26"/>
        </w:rPr>
        <w:t>ться для подачи заявки повторно!</w:t>
      </w:r>
    </w:p>
    <w:p w:rsidR="00B852EE" w:rsidRPr="002934E5" w:rsidRDefault="00B852EE" w:rsidP="00CD6559">
      <w:pPr>
        <w:ind w:firstLine="142"/>
        <w:jc w:val="center"/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</w:pP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Уведомления</w:t>
      </w:r>
      <w:r w:rsidR="00FB0969" w:rsidRPr="002934E5"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  <w:t xml:space="preserve"> </w:t>
      </w:r>
      <w:r w:rsidR="00FB0969"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по заявке направляются в личный кабинет заявителя</w:t>
      </w:r>
      <w:r w:rsidR="00FB0969" w:rsidRPr="002934E5">
        <w:rPr>
          <w:rFonts w:asciiTheme="majorHAnsi" w:hAnsiTheme="majorHAnsi" w:cstheme="majorHAnsi"/>
          <w:b/>
          <w:color w:val="002060"/>
          <w:sz w:val="26"/>
          <w:szCs w:val="26"/>
          <w:lang w:val="en-US"/>
        </w:rPr>
        <w:t>:</w:t>
      </w:r>
    </w:p>
    <w:p w:rsidR="00B852EE" w:rsidRPr="00FB0969" w:rsidRDefault="00FB0969" w:rsidP="00E66D32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FB0969">
        <w:rPr>
          <w:color w:val="002060"/>
          <w:sz w:val="26"/>
          <w:szCs w:val="26"/>
        </w:rPr>
        <w:t xml:space="preserve">Уведомление </w:t>
      </w:r>
      <w:r>
        <w:rPr>
          <w:color w:val="002060"/>
          <w:sz w:val="26"/>
          <w:szCs w:val="26"/>
        </w:rPr>
        <w:t>р</w:t>
      </w:r>
      <w:r w:rsidR="00B852EE" w:rsidRPr="00FB0969">
        <w:rPr>
          <w:color w:val="002060"/>
          <w:sz w:val="26"/>
          <w:szCs w:val="26"/>
        </w:rPr>
        <w:t>егистрации заявки производится</w:t>
      </w:r>
      <w:r w:rsidR="00543FC7" w:rsidRPr="00FB0969">
        <w:rPr>
          <w:color w:val="002060"/>
          <w:sz w:val="26"/>
          <w:szCs w:val="26"/>
        </w:rPr>
        <w:t xml:space="preserve"> автоматически</w:t>
      </w:r>
      <w:r w:rsidR="00017765" w:rsidRPr="00FB0969">
        <w:rPr>
          <w:color w:val="002060"/>
          <w:sz w:val="26"/>
          <w:szCs w:val="26"/>
        </w:rPr>
        <w:t xml:space="preserve"> в течение 1 рабочего дня</w:t>
      </w:r>
      <w:r w:rsidR="00543FC7" w:rsidRPr="00FB0969">
        <w:rPr>
          <w:color w:val="002060"/>
          <w:sz w:val="26"/>
          <w:szCs w:val="26"/>
        </w:rPr>
        <w:t>.</w:t>
      </w:r>
      <w:r>
        <w:rPr>
          <w:color w:val="002060"/>
          <w:sz w:val="26"/>
          <w:szCs w:val="26"/>
        </w:rPr>
        <w:t xml:space="preserve"> </w:t>
      </w:r>
      <w:r w:rsidR="00160965">
        <w:rPr>
          <w:color w:val="002060"/>
          <w:sz w:val="26"/>
          <w:szCs w:val="26"/>
        </w:rPr>
        <w:t>Заявка</w:t>
      </w:r>
      <w:r>
        <w:rPr>
          <w:color w:val="002060"/>
          <w:sz w:val="26"/>
          <w:szCs w:val="26"/>
        </w:rPr>
        <w:t xml:space="preserve"> в статус</w:t>
      </w:r>
      <w:r w:rsidR="00160965">
        <w:rPr>
          <w:color w:val="002060"/>
          <w:sz w:val="26"/>
          <w:szCs w:val="26"/>
        </w:rPr>
        <w:t>е</w:t>
      </w:r>
      <w:r>
        <w:rPr>
          <w:color w:val="002060"/>
          <w:sz w:val="26"/>
          <w:szCs w:val="26"/>
        </w:rPr>
        <w:t xml:space="preserve">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Зарегистрирована</w:t>
      </w:r>
      <w:r>
        <w:rPr>
          <w:color w:val="002060"/>
          <w:sz w:val="26"/>
          <w:szCs w:val="26"/>
        </w:rPr>
        <w:t>»</w:t>
      </w:r>
    </w:p>
    <w:p w:rsidR="00543FC7" w:rsidRPr="00543FC7" w:rsidRDefault="00FB0969" w:rsidP="00E66D32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Уведомление о п</w:t>
      </w:r>
      <w:r w:rsidR="00543FC7" w:rsidRPr="00543FC7">
        <w:rPr>
          <w:color w:val="002060"/>
          <w:sz w:val="26"/>
          <w:szCs w:val="26"/>
        </w:rPr>
        <w:t>роверк</w:t>
      </w:r>
      <w:r>
        <w:rPr>
          <w:color w:val="002060"/>
          <w:sz w:val="26"/>
          <w:szCs w:val="26"/>
        </w:rPr>
        <w:t>е</w:t>
      </w:r>
      <w:r w:rsidR="00543FC7" w:rsidRPr="00543FC7">
        <w:rPr>
          <w:color w:val="002060"/>
          <w:sz w:val="26"/>
          <w:szCs w:val="26"/>
        </w:rPr>
        <w:t xml:space="preserve"> комплектности </w:t>
      </w:r>
      <w:r w:rsidR="00543FC7">
        <w:rPr>
          <w:color w:val="002060"/>
          <w:sz w:val="26"/>
          <w:szCs w:val="26"/>
        </w:rPr>
        <w:t>документов</w:t>
      </w:r>
      <w:r>
        <w:rPr>
          <w:color w:val="002060"/>
          <w:sz w:val="26"/>
          <w:szCs w:val="26"/>
        </w:rPr>
        <w:t>. Проверка</w:t>
      </w:r>
      <w:r w:rsidR="00543FC7">
        <w:rPr>
          <w:color w:val="002060"/>
          <w:sz w:val="26"/>
          <w:szCs w:val="26"/>
        </w:rPr>
        <w:t xml:space="preserve"> производится в течении 3 рабочих дней. </w:t>
      </w:r>
      <w:r>
        <w:rPr>
          <w:color w:val="002060"/>
          <w:sz w:val="26"/>
          <w:szCs w:val="26"/>
        </w:rPr>
        <w:t>Заявка в статус</w:t>
      </w:r>
      <w:r w:rsidR="00160965">
        <w:rPr>
          <w:color w:val="002060"/>
          <w:sz w:val="26"/>
          <w:szCs w:val="26"/>
        </w:rPr>
        <w:t>е</w:t>
      </w:r>
      <w:r>
        <w:rPr>
          <w:color w:val="002060"/>
          <w:sz w:val="26"/>
          <w:szCs w:val="26"/>
        </w:rPr>
        <w:t xml:space="preserve">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Проверка комплектности документов</w:t>
      </w:r>
      <w:r>
        <w:rPr>
          <w:color w:val="002060"/>
          <w:sz w:val="26"/>
          <w:szCs w:val="26"/>
        </w:rPr>
        <w:t>».</w:t>
      </w:r>
    </w:p>
    <w:p w:rsidR="00017765" w:rsidRPr="0096004B" w:rsidRDefault="00017765" w:rsidP="009600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96004B">
        <w:rPr>
          <w:rFonts w:ascii="Calibri" w:hAnsi="Calibri" w:cs="Calibri"/>
          <w:color w:val="002060"/>
          <w:sz w:val="26"/>
          <w:szCs w:val="26"/>
        </w:rPr>
        <w:t>Исполнитель (ГРО) в течение 3 рабочих дней со дня получения заявки проводит проверку комплектности представленных документов, в случае некомплектности пакета, заявка переводится в статус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Отложена</w:t>
      </w:r>
      <w:r w:rsidRPr="0096004B">
        <w:rPr>
          <w:rFonts w:ascii="Calibri" w:hAnsi="Calibri" w:cs="Calibri"/>
          <w:color w:val="002060"/>
          <w:sz w:val="26"/>
          <w:szCs w:val="26"/>
        </w:rPr>
        <w:t>», а заявителю направляется уведомление личный кабинет</w:t>
      </w:r>
      <w:r w:rsidRPr="0096004B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96004B">
        <w:rPr>
          <w:rFonts w:ascii="Calibri" w:hAnsi="Calibri" w:cs="Calibri"/>
          <w:color w:val="002060"/>
          <w:sz w:val="26"/>
          <w:szCs w:val="26"/>
        </w:rPr>
        <w:t>с перечнем недостающих документов или сведений.</w:t>
      </w:r>
      <w:r w:rsidRPr="0096004B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96004B">
        <w:rPr>
          <w:rFonts w:ascii="Calibri" w:hAnsi="Calibri" w:cs="Calibri"/>
          <w:color w:val="002060"/>
          <w:sz w:val="26"/>
          <w:szCs w:val="26"/>
        </w:rPr>
        <w:t xml:space="preserve">В течение 20-дней Заявитель имеет право представить все недостающие документы (сведения), перечисленные в полученном уведомлении и отправить заявку в работу (специальная клавиша в Разделе «Документы»). </w:t>
      </w:r>
      <w:r w:rsidR="00FB0969" w:rsidRPr="0096004B">
        <w:rPr>
          <w:rFonts w:ascii="Calibri" w:hAnsi="Calibri" w:cs="Calibri"/>
          <w:color w:val="002060"/>
          <w:sz w:val="26"/>
          <w:szCs w:val="26"/>
        </w:rPr>
        <w:t>После этого</w:t>
      </w:r>
      <w:r w:rsidRPr="0096004B">
        <w:rPr>
          <w:rFonts w:ascii="Calibri" w:hAnsi="Calibri" w:cs="Calibri"/>
          <w:color w:val="002060"/>
          <w:sz w:val="26"/>
          <w:szCs w:val="26"/>
        </w:rPr>
        <w:t xml:space="preserve"> заявка переходит в статус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Недостающие документы приложены</w:t>
      </w:r>
      <w:r w:rsidRPr="0096004B">
        <w:rPr>
          <w:rFonts w:ascii="Calibri" w:hAnsi="Calibri" w:cs="Calibri"/>
          <w:color w:val="002060"/>
          <w:sz w:val="26"/>
          <w:szCs w:val="26"/>
        </w:rPr>
        <w:t>», и заявка возвращается в статус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Проверка комплектности документов</w:t>
      </w:r>
      <w:r w:rsidRPr="0096004B">
        <w:rPr>
          <w:rFonts w:ascii="Calibri" w:hAnsi="Calibri" w:cs="Calibri"/>
          <w:i/>
          <w:iCs/>
          <w:color w:val="002060"/>
          <w:sz w:val="26"/>
          <w:szCs w:val="26"/>
          <w:u w:val="single"/>
        </w:rPr>
        <w:t xml:space="preserve">» </w:t>
      </w:r>
      <w:r w:rsidRPr="0096004B">
        <w:rPr>
          <w:rFonts w:ascii="Calibri" w:hAnsi="Calibri" w:cs="Calibri"/>
          <w:color w:val="002060"/>
          <w:sz w:val="26"/>
          <w:szCs w:val="26"/>
        </w:rPr>
        <w:t>на 3 рабочих дня.</w:t>
      </w:r>
    </w:p>
    <w:p w:rsidR="00017765" w:rsidRPr="002934E5" w:rsidRDefault="00017765" w:rsidP="00AB4814">
      <w:pPr>
        <w:ind w:firstLine="426"/>
        <w:jc w:val="center"/>
        <w:rPr>
          <w:rFonts w:cstheme="minorHAnsi"/>
          <w:color w:val="C00000"/>
          <w:sz w:val="26"/>
          <w:szCs w:val="26"/>
        </w:rPr>
      </w:pPr>
      <w:r w:rsidRPr="002934E5">
        <w:rPr>
          <w:rFonts w:cstheme="minorHAnsi"/>
          <w:color w:val="C00000"/>
          <w:sz w:val="26"/>
          <w:szCs w:val="26"/>
        </w:rPr>
        <w:t>!</w:t>
      </w:r>
      <w:r w:rsidR="002934E5" w:rsidRPr="002934E5">
        <w:rPr>
          <w:rFonts w:cstheme="minorHAnsi"/>
          <w:color w:val="C00000"/>
          <w:sz w:val="26"/>
          <w:szCs w:val="26"/>
        </w:rPr>
        <w:t xml:space="preserve"> </w:t>
      </w:r>
      <w:r w:rsidRPr="002934E5">
        <w:rPr>
          <w:rFonts w:cstheme="minorHAnsi"/>
          <w:color w:val="C00000"/>
          <w:sz w:val="26"/>
          <w:szCs w:val="26"/>
        </w:rPr>
        <w:t>Если пакет документов не будет укомплектован в указанные сроки, заявка будет аннулирована автоматически!</w:t>
      </w:r>
    </w:p>
    <w:p w:rsidR="007A3802" w:rsidRPr="008230C2" w:rsidRDefault="007A3802" w:rsidP="00E66D32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8230C2">
        <w:rPr>
          <w:color w:val="002060"/>
          <w:sz w:val="26"/>
          <w:szCs w:val="26"/>
        </w:rPr>
        <w:t xml:space="preserve">Уведомление о подготовке ТУ и заключение договора </w:t>
      </w:r>
      <w:r w:rsidRPr="008230C2">
        <w:rPr>
          <w:rFonts w:ascii="Calibri" w:hAnsi="Calibri" w:cs="Calibri"/>
          <w:color w:val="002060"/>
          <w:sz w:val="26"/>
          <w:szCs w:val="26"/>
        </w:rPr>
        <w:t xml:space="preserve">Статус </w:t>
      </w:r>
      <w:r w:rsidRPr="002934E5">
        <w:rPr>
          <w:rFonts w:asciiTheme="majorHAnsi" w:hAnsiTheme="majorHAnsi" w:cstheme="majorHAnsi"/>
          <w:color w:val="002060"/>
          <w:sz w:val="26"/>
          <w:szCs w:val="26"/>
        </w:rPr>
        <w:t>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Подготовка ТУ и заключение договора</w:t>
      </w:r>
      <w:r w:rsidRPr="008230C2">
        <w:rPr>
          <w:rFonts w:ascii="Calibri" w:hAnsi="Calibri" w:cs="Calibri"/>
          <w:color w:val="002060"/>
          <w:sz w:val="26"/>
          <w:szCs w:val="26"/>
        </w:rPr>
        <w:t xml:space="preserve">». После получения полного комплекта документов, исполнитель проверяет объект на соответствие критериям </w:t>
      </w:r>
      <w:proofErr w:type="spellStart"/>
      <w:r w:rsidRPr="008230C2">
        <w:rPr>
          <w:rFonts w:ascii="Calibri" w:hAnsi="Calibri" w:cs="Calibri"/>
          <w:color w:val="002060"/>
          <w:sz w:val="26"/>
          <w:szCs w:val="26"/>
        </w:rPr>
        <w:t>догазификации</w:t>
      </w:r>
      <w:proofErr w:type="spellEnd"/>
      <w:r w:rsidRPr="008230C2">
        <w:rPr>
          <w:rFonts w:ascii="Calibri" w:hAnsi="Calibri" w:cs="Calibri"/>
          <w:color w:val="002060"/>
          <w:sz w:val="26"/>
          <w:szCs w:val="26"/>
        </w:rPr>
        <w:t xml:space="preserve">. При соответствия критериям, исполнителем готовится оферта и проект договора и направляются заявителю </w:t>
      </w:r>
      <w:r w:rsidR="008230C2" w:rsidRPr="008230C2">
        <w:rPr>
          <w:rFonts w:ascii="Calibri" w:hAnsi="Calibri" w:cs="Calibri"/>
          <w:color w:val="002060"/>
          <w:sz w:val="26"/>
          <w:szCs w:val="26"/>
        </w:rPr>
        <w:t xml:space="preserve">для подписания </w:t>
      </w:r>
      <w:r w:rsidRPr="008230C2">
        <w:rPr>
          <w:rFonts w:ascii="Calibri" w:hAnsi="Calibri" w:cs="Calibri"/>
          <w:color w:val="002060"/>
          <w:sz w:val="26"/>
          <w:szCs w:val="26"/>
        </w:rPr>
        <w:t>выбранным в заявке способом</w:t>
      </w:r>
      <w:r w:rsidR="008230C2" w:rsidRPr="008230C2">
        <w:rPr>
          <w:rFonts w:ascii="Calibri" w:hAnsi="Calibri" w:cs="Calibri"/>
          <w:color w:val="002060"/>
          <w:sz w:val="26"/>
          <w:szCs w:val="26"/>
        </w:rPr>
        <w:t xml:space="preserve"> (</w:t>
      </w:r>
      <w:proofErr w:type="spellStart"/>
      <w:r w:rsidR="008230C2" w:rsidRPr="008230C2">
        <w:rPr>
          <w:rFonts w:ascii="Calibri" w:hAnsi="Calibri" w:cs="Calibri"/>
          <w:color w:val="002060"/>
          <w:sz w:val="26"/>
          <w:szCs w:val="26"/>
        </w:rPr>
        <w:t>электронно</w:t>
      </w:r>
      <w:proofErr w:type="spellEnd"/>
      <w:r w:rsidR="008230C2" w:rsidRPr="008230C2">
        <w:rPr>
          <w:rFonts w:ascii="Calibri" w:hAnsi="Calibri" w:cs="Calibri"/>
          <w:color w:val="002060"/>
          <w:sz w:val="26"/>
          <w:szCs w:val="26"/>
        </w:rPr>
        <w:t xml:space="preserve"> или письменно). </w:t>
      </w:r>
      <w:r w:rsidR="008230C2" w:rsidRPr="008230C2">
        <w:rPr>
          <w:color w:val="002060"/>
          <w:sz w:val="26"/>
          <w:szCs w:val="26"/>
        </w:rPr>
        <w:t>Заявка в статусе «</w:t>
      </w:r>
      <w:r w:rsidR="008230C2"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На подписании заявителем</w:t>
      </w:r>
      <w:r w:rsidR="008230C2" w:rsidRPr="008230C2">
        <w:rPr>
          <w:color w:val="002060"/>
          <w:sz w:val="26"/>
          <w:szCs w:val="26"/>
        </w:rPr>
        <w:t xml:space="preserve">» </w:t>
      </w:r>
    </w:p>
    <w:p w:rsidR="008230C2" w:rsidRDefault="008230C2" w:rsidP="00E66D32">
      <w:pPr>
        <w:pStyle w:val="a3"/>
        <w:ind w:left="0"/>
        <w:jc w:val="both"/>
        <w:rPr>
          <w:rFonts w:ascii="Calibri" w:hAnsi="Calibri" w:cs="Calibri"/>
          <w:color w:val="002060"/>
          <w:sz w:val="26"/>
          <w:szCs w:val="26"/>
        </w:rPr>
      </w:pPr>
      <w:r w:rsidRPr="008230C2">
        <w:rPr>
          <w:rFonts w:ascii="Calibri" w:hAnsi="Calibri" w:cs="Calibri"/>
          <w:color w:val="002060"/>
          <w:sz w:val="26"/>
          <w:szCs w:val="26"/>
        </w:rPr>
        <w:t xml:space="preserve">Заявителю необходимо подписать договор в 3-х экземплярах в течении 10 рабочих дней с момента получения и не позднее 30 рабочих дней направить подписанные договора исполнителю.  </w:t>
      </w:r>
    </w:p>
    <w:p w:rsidR="008230C2" w:rsidRPr="002934E5" w:rsidRDefault="00E66D32" w:rsidP="00CD6559">
      <w:pPr>
        <w:ind w:firstLine="426"/>
        <w:jc w:val="center"/>
        <w:rPr>
          <w:rFonts w:cstheme="minorHAnsi"/>
          <w:color w:val="C00000"/>
          <w:sz w:val="26"/>
          <w:szCs w:val="26"/>
        </w:rPr>
      </w:pPr>
      <w:r w:rsidRPr="002934E5">
        <w:rPr>
          <w:rFonts w:cstheme="minorHAnsi"/>
          <w:color w:val="C00000"/>
          <w:sz w:val="26"/>
          <w:szCs w:val="26"/>
        </w:rPr>
        <w:t xml:space="preserve">! </w:t>
      </w:r>
      <w:r w:rsidR="00CD6559" w:rsidRPr="002934E5">
        <w:rPr>
          <w:rFonts w:cstheme="minorHAnsi"/>
          <w:color w:val="C00000"/>
          <w:sz w:val="26"/>
          <w:szCs w:val="26"/>
        </w:rPr>
        <w:t xml:space="preserve">Если договор не будет подписан заявителем и не будет отправлен в ГРО до истечения 30 рабочих дней с момента получения, </w:t>
      </w:r>
      <w:r w:rsidR="001223FB" w:rsidRPr="002934E5">
        <w:rPr>
          <w:rFonts w:cstheme="minorHAnsi"/>
          <w:color w:val="C00000"/>
          <w:sz w:val="26"/>
          <w:szCs w:val="26"/>
        </w:rPr>
        <w:t>заявка аннулируется!</w:t>
      </w:r>
    </w:p>
    <w:p w:rsidR="007A3802" w:rsidRDefault="008230C2" w:rsidP="00E66D32">
      <w:pPr>
        <w:pStyle w:val="a3"/>
        <w:ind w:left="426"/>
        <w:jc w:val="both"/>
        <w:rPr>
          <w:rFonts w:ascii="Calibri" w:hAnsi="Calibri" w:cs="Calibri"/>
          <w:color w:val="002060"/>
          <w:sz w:val="26"/>
          <w:szCs w:val="26"/>
        </w:rPr>
      </w:pPr>
      <w:r w:rsidRPr="008230C2">
        <w:rPr>
          <w:rFonts w:ascii="Calibri" w:hAnsi="Calibri" w:cs="Calibri"/>
          <w:color w:val="002060"/>
          <w:sz w:val="26"/>
          <w:szCs w:val="26"/>
        </w:rPr>
        <w:t>В случае выбора при подаче заявки электронного способа подписания договора, заявитель получает и подписывает договор в электронном виде в личном кабинете.</w:t>
      </w:r>
    </w:p>
    <w:p w:rsidR="008230C2" w:rsidRDefault="001223FB" w:rsidP="00E66D32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Уведомление о реализации мероприятий по договору устанавливается после получения подписанного договора. </w:t>
      </w:r>
      <w:r>
        <w:rPr>
          <w:color w:val="002060"/>
          <w:sz w:val="26"/>
          <w:szCs w:val="26"/>
        </w:rPr>
        <w:t>Заявка в статусе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Реализация мероприятий</w:t>
      </w:r>
      <w:r>
        <w:rPr>
          <w:color w:val="002060"/>
          <w:sz w:val="26"/>
          <w:szCs w:val="26"/>
        </w:rPr>
        <w:t>».</w:t>
      </w:r>
      <w:r>
        <w:rPr>
          <w:rFonts w:ascii="Calibri" w:hAnsi="Calibri" w:cs="Calibri"/>
          <w:color w:val="002060"/>
          <w:sz w:val="26"/>
          <w:szCs w:val="26"/>
        </w:rPr>
        <w:t xml:space="preserve"> Реализация мероприятий производится в сроки, указанные в договоре.</w:t>
      </w:r>
    </w:p>
    <w:p w:rsidR="001223FB" w:rsidRPr="008230C2" w:rsidRDefault="001223FB" w:rsidP="00E66D32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>Уведомление о пуске газа. По окончании выполнения работ по подключения оборудования и газовых сетей, производится пуск газа.</w:t>
      </w:r>
      <w:r w:rsidRPr="001223F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Заявка в статусе «</w:t>
      </w:r>
      <w:r w:rsidRPr="002934E5">
        <w:rPr>
          <w:rFonts w:asciiTheme="majorHAnsi" w:hAnsiTheme="majorHAnsi" w:cstheme="majorHAnsi"/>
          <w:b/>
          <w:color w:val="002060"/>
          <w:sz w:val="26"/>
          <w:szCs w:val="26"/>
        </w:rPr>
        <w:t>Пуск газа</w:t>
      </w:r>
      <w:r>
        <w:rPr>
          <w:color w:val="002060"/>
          <w:sz w:val="26"/>
          <w:szCs w:val="26"/>
        </w:rPr>
        <w:t>».</w:t>
      </w:r>
    </w:p>
    <w:p w:rsidR="00B852EE" w:rsidRPr="00B852EE" w:rsidRDefault="00B852EE" w:rsidP="00E66D32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B852EE">
        <w:rPr>
          <w:color w:val="002060"/>
          <w:sz w:val="26"/>
          <w:szCs w:val="26"/>
        </w:rPr>
        <w:t>Уведомление о невозможности заключения договора</w:t>
      </w:r>
    </w:p>
    <w:p w:rsidR="00B852EE" w:rsidRDefault="00B852EE" w:rsidP="00E66D32">
      <w:pPr>
        <w:ind w:firstLine="142"/>
        <w:jc w:val="both"/>
        <w:rPr>
          <w:color w:val="002060"/>
          <w:sz w:val="26"/>
          <w:szCs w:val="26"/>
        </w:rPr>
      </w:pPr>
      <w:r w:rsidRPr="00B852EE">
        <w:rPr>
          <w:color w:val="002060"/>
          <w:sz w:val="26"/>
          <w:szCs w:val="26"/>
        </w:rPr>
        <w:t>В случае если в границах населенного пункта, в котором расположено домовладение заявителя, отсутствуют газора</w:t>
      </w:r>
      <w:r w:rsidR="00FB0969">
        <w:rPr>
          <w:color w:val="002060"/>
          <w:sz w:val="26"/>
          <w:szCs w:val="26"/>
        </w:rPr>
        <w:t xml:space="preserve">спределительные сети, исполнитель(ГРО) </w:t>
      </w:r>
      <w:r w:rsidRPr="00B852EE">
        <w:rPr>
          <w:color w:val="002060"/>
          <w:sz w:val="26"/>
          <w:szCs w:val="26"/>
        </w:rPr>
        <w:t>в течение трех рабочих дней со дня поступления заявки подготавливает уведомление о не</w:t>
      </w:r>
      <w:r w:rsidR="00FB0969">
        <w:rPr>
          <w:color w:val="002060"/>
          <w:sz w:val="26"/>
          <w:szCs w:val="26"/>
        </w:rPr>
        <w:t>возможности заключения договора и заявке присваивается статус «</w:t>
      </w:r>
      <w:r w:rsidR="00FB0969"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Отказано в заключении договора</w:t>
      </w:r>
      <w:r w:rsidR="00FB0969">
        <w:rPr>
          <w:color w:val="002060"/>
          <w:sz w:val="26"/>
          <w:szCs w:val="26"/>
        </w:rPr>
        <w:t>»</w:t>
      </w:r>
    </w:p>
    <w:p w:rsidR="00160965" w:rsidRPr="00160965" w:rsidRDefault="00160965" w:rsidP="00E66D32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Уведомление об отмене заявки, в случае отмены заявки по инициативе заявителя. </w:t>
      </w:r>
      <w:r w:rsidRPr="00160965">
        <w:rPr>
          <w:color w:val="002060"/>
          <w:sz w:val="26"/>
          <w:szCs w:val="26"/>
        </w:rPr>
        <w:t>Заявка в статусе «</w:t>
      </w:r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Отмена</w:t>
      </w:r>
      <w:r w:rsidRPr="00160965">
        <w:rPr>
          <w:color w:val="002060"/>
          <w:sz w:val="26"/>
          <w:szCs w:val="26"/>
        </w:rPr>
        <w:t>»</w:t>
      </w:r>
    </w:p>
    <w:p w:rsidR="00160965" w:rsidRPr="0096004B" w:rsidRDefault="00160965" w:rsidP="008917B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96004B">
        <w:rPr>
          <w:color w:val="002060"/>
          <w:sz w:val="26"/>
          <w:szCs w:val="26"/>
        </w:rPr>
        <w:t>Уведомление об отказе в заключении договора, в случае, когда отсутствует техническая возможность подключения либо объект не соответствует критериям газификации. Заявка в статусе «</w:t>
      </w:r>
      <w:r w:rsidRPr="00AB4814">
        <w:rPr>
          <w:rFonts w:asciiTheme="majorHAnsi" w:hAnsiTheme="majorHAnsi" w:cstheme="majorHAnsi"/>
          <w:b/>
          <w:color w:val="002060"/>
          <w:sz w:val="26"/>
          <w:szCs w:val="26"/>
        </w:rPr>
        <w:t>Отказано в заключении договора</w:t>
      </w:r>
      <w:r w:rsidRPr="0096004B">
        <w:rPr>
          <w:color w:val="002060"/>
          <w:sz w:val="26"/>
          <w:szCs w:val="26"/>
        </w:rPr>
        <w:t>»</w:t>
      </w:r>
    </w:p>
    <w:sectPr w:rsidR="00160965" w:rsidRPr="0096004B" w:rsidSect="001223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97A"/>
    <w:multiLevelType w:val="hybridMultilevel"/>
    <w:tmpl w:val="FA80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1C4"/>
    <w:multiLevelType w:val="hybridMultilevel"/>
    <w:tmpl w:val="7132287C"/>
    <w:lvl w:ilvl="0" w:tplc="B178C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DD4F4D"/>
    <w:multiLevelType w:val="hybridMultilevel"/>
    <w:tmpl w:val="7132287C"/>
    <w:lvl w:ilvl="0" w:tplc="B178C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CC0797"/>
    <w:multiLevelType w:val="multilevel"/>
    <w:tmpl w:val="DAC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40A27"/>
    <w:multiLevelType w:val="multilevel"/>
    <w:tmpl w:val="577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1760A"/>
    <w:multiLevelType w:val="hybridMultilevel"/>
    <w:tmpl w:val="7132287C"/>
    <w:lvl w:ilvl="0" w:tplc="B178C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9C6490"/>
    <w:multiLevelType w:val="hybridMultilevel"/>
    <w:tmpl w:val="06AEA3F0"/>
    <w:lvl w:ilvl="0" w:tplc="41C6C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0"/>
    <w:rsid w:val="00017765"/>
    <w:rsid w:val="000429C4"/>
    <w:rsid w:val="001223FB"/>
    <w:rsid w:val="00160965"/>
    <w:rsid w:val="002934E5"/>
    <w:rsid w:val="00392F3F"/>
    <w:rsid w:val="00543FC7"/>
    <w:rsid w:val="00677EDF"/>
    <w:rsid w:val="007008A0"/>
    <w:rsid w:val="007A3802"/>
    <w:rsid w:val="007C0EA7"/>
    <w:rsid w:val="008230C2"/>
    <w:rsid w:val="008B0170"/>
    <w:rsid w:val="0096004B"/>
    <w:rsid w:val="009736FB"/>
    <w:rsid w:val="00985E93"/>
    <w:rsid w:val="00997B9C"/>
    <w:rsid w:val="00AB4814"/>
    <w:rsid w:val="00B852EE"/>
    <w:rsid w:val="00BD3545"/>
    <w:rsid w:val="00C00D50"/>
    <w:rsid w:val="00C368A0"/>
    <w:rsid w:val="00CD6559"/>
    <w:rsid w:val="00CE1B07"/>
    <w:rsid w:val="00E66D32"/>
    <w:rsid w:val="00EA47E9"/>
    <w:rsid w:val="00FB0969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EC74-9B05-4DF7-976E-6252443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765"/>
    <w:rPr>
      <w:color w:val="0000FF"/>
      <w:u w:val="single"/>
    </w:rPr>
  </w:style>
  <w:style w:type="paragraph" w:customStyle="1" w:styleId="mt-16">
    <w:name w:val="mt-16"/>
    <w:basedOn w:val="a"/>
    <w:rsid w:val="00F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22576/b698269155bb4233fb310d9c514ff51f1b8fd1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Денис Александрович</dc:creator>
  <cp:keywords/>
  <dc:description/>
  <cp:lastModifiedBy>Наталья Н.И.. Гапочкина</cp:lastModifiedBy>
  <cp:revision>2</cp:revision>
  <dcterms:created xsi:type="dcterms:W3CDTF">2022-05-23T09:57:00Z</dcterms:created>
  <dcterms:modified xsi:type="dcterms:W3CDTF">2022-05-23T09:57:00Z</dcterms:modified>
</cp:coreProperties>
</file>