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87" w:rsidRPr="001D2643" w:rsidRDefault="00317187" w:rsidP="00317187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</w:pPr>
      <w:r w:rsidRPr="001D2643"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  <w:t xml:space="preserve">Перечень государственных и муниципальных услуг, оказываемых по принципу экстерриториальности </w:t>
      </w:r>
      <w:r w:rsidR="002C342F"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  <w:t>на базе многофункциональных</w:t>
      </w:r>
      <w:r w:rsidRPr="001D2643"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  <w:t xml:space="preserve"> центр</w:t>
      </w:r>
      <w:r w:rsidR="002C342F"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  <w:t>ов</w:t>
      </w:r>
      <w:r w:rsidRPr="001D2643"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  <w:t xml:space="preserve"> предоставления </w:t>
      </w:r>
      <w:r w:rsidRPr="001D2643"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  <w:br/>
        <w:t>государственных и муниципальных услуг</w:t>
      </w:r>
      <w:r w:rsidR="006F6202" w:rsidRPr="006F6202"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  <w:t xml:space="preserve"> </w:t>
      </w:r>
      <w:r w:rsidR="006F6202" w:rsidRPr="001D2643"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  <w:t>на территории Ростовской области</w:t>
      </w:r>
    </w:p>
    <w:p w:rsidR="00317187" w:rsidRPr="00317187" w:rsidRDefault="00317187" w:rsidP="00317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tted" w:sz="4" w:space="0" w:color="E04E39"/>
          <w:left w:val="dotted" w:sz="4" w:space="0" w:color="E04E39"/>
          <w:bottom w:val="dotted" w:sz="4" w:space="0" w:color="E04E39"/>
          <w:right w:val="dotted" w:sz="4" w:space="0" w:color="E04E39"/>
          <w:insideH w:val="dotted" w:sz="4" w:space="0" w:color="E04E39"/>
          <w:insideV w:val="dotted" w:sz="4" w:space="0" w:color="E04E39"/>
        </w:tblBorders>
        <w:tblLook w:val="00A0" w:firstRow="1" w:lastRow="0" w:firstColumn="1" w:lastColumn="0" w:noHBand="0" w:noVBand="0"/>
      </w:tblPr>
      <w:tblGrid>
        <w:gridCol w:w="566"/>
        <w:gridCol w:w="8779"/>
      </w:tblGrid>
      <w:tr w:rsidR="002C342F" w:rsidRPr="001D2643" w:rsidTr="005D5EF7">
        <w:tc>
          <w:tcPr>
            <w:tcW w:w="303" w:type="pct"/>
          </w:tcPr>
          <w:p w:rsidR="002C342F" w:rsidRPr="001D2643" w:rsidRDefault="002C342F" w:rsidP="002C342F">
            <w:pPr>
              <w:tabs>
                <w:tab w:val="left" w:pos="993"/>
                <w:tab w:val="left" w:pos="1276"/>
              </w:tabs>
              <w:spacing w:after="0" w:line="240" w:lineRule="auto"/>
              <w:ind w:left="34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2C342F" w:rsidRPr="001D2643" w:rsidRDefault="002C342F" w:rsidP="00317187">
            <w:pPr>
              <w:tabs>
                <w:tab w:val="left" w:pos="993"/>
                <w:tab w:val="left" w:pos="1276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  <w:r w:rsidRPr="001D2643"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  <w:t>Государственные услуги в сфере социальной поддержки населения</w:t>
            </w:r>
          </w:p>
        </w:tc>
      </w:tr>
      <w:tr w:rsidR="002C342F" w:rsidRPr="001D2643" w:rsidTr="005D5EF7">
        <w:tc>
          <w:tcPr>
            <w:tcW w:w="303" w:type="pct"/>
            <w:shd w:val="clear" w:color="auto" w:fill="F4BDB6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2C342F" w:rsidRPr="001D2643" w:rsidRDefault="002C342F" w:rsidP="003171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</w:rPr>
            </w:pPr>
            <w:r w:rsidRPr="001D2643">
              <w:rPr>
                <w:rFonts w:ascii="Arial" w:eastAsia="Times New Roman" w:hAnsi="Arial" w:cs="Arial"/>
                <w:color w:val="623B2A"/>
              </w:rPr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2C342F" w:rsidRPr="001D2643" w:rsidTr="005D5EF7">
        <w:tc>
          <w:tcPr>
            <w:tcW w:w="303" w:type="pct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2C342F" w:rsidRPr="001D2643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</w:rPr>
            </w:pPr>
            <w:r>
              <w:rPr>
                <w:rFonts w:ascii="Arial" w:eastAsia="Times New Roman" w:hAnsi="Arial" w:cs="Arial"/>
                <w:color w:val="623B2A"/>
              </w:rPr>
              <w:t>Оформление и в</w:t>
            </w:r>
            <w:r w:rsidR="002C342F" w:rsidRPr="001D2643">
              <w:rPr>
                <w:rFonts w:ascii="Arial" w:eastAsia="Times New Roman" w:hAnsi="Arial" w:cs="Arial"/>
                <w:color w:val="623B2A"/>
              </w:rPr>
              <w:t>ыдача удостоверения «</w:t>
            </w:r>
            <w:r>
              <w:rPr>
                <w:rFonts w:ascii="Arial" w:eastAsia="Times New Roman" w:hAnsi="Arial" w:cs="Arial"/>
                <w:color w:val="623B2A"/>
              </w:rPr>
              <w:t>У</w:t>
            </w:r>
            <w:r w:rsidR="002C342F" w:rsidRPr="001D2643">
              <w:rPr>
                <w:rFonts w:ascii="Arial" w:eastAsia="Times New Roman" w:hAnsi="Arial" w:cs="Arial"/>
                <w:color w:val="623B2A"/>
              </w:rPr>
              <w:t>частник ликвидации последствий катастрофы на Чернобыльской АЭС»</w:t>
            </w:r>
          </w:p>
        </w:tc>
      </w:tr>
      <w:tr w:rsidR="002C342F" w:rsidRPr="001D2643" w:rsidTr="005D5EF7">
        <w:tc>
          <w:tcPr>
            <w:tcW w:w="303" w:type="pct"/>
            <w:shd w:val="clear" w:color="auto" w:fill="F4BDB6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2C342F" w:rsidRPr="001D2643" w:rsidRDefault="00691729" w:rsidP="003171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</w:rPr>
            </w:pPr>
            <w:r w:rsidRPr="00691729">
              <w:rPr>
                <w:rFonts w:ascii="Arial" w:eastAsia="Times New Roman" w:hAnsi="Arial" w:cs="Arial"/>
                <w:color w:val="623B2A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ставшего(ей) инвалидом»</w:t>
            </w:r>
          </w:p>
        </w:tc>
      </w:tr>
      <w:tr w:rsidR="002C342F" w:rsidRPr="001D2643" w:rsidTr="005D5EF7">
        <w:tc>
          <w:tcPr>
            <w:tcW w:w="303" w:type="pct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2C342F" w:rsidRPr="001D2643" w:rsidRDefault="00691729" w:rsidP="003171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</w:rPr>
            </w:pPr>
            <w:r w:rsidRPr="00691729">
              <w:rPr>
                <w:rFonts w:ascii="Arial" w:eastAsia="Times New Roman" w:hAnsi="Arial" w:cs="Arial"/>
                <w:color w:val="623B2A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</w:tr>
      <w:tr w:rsidR="002C342F" w:rsidRPr="001D2643" w:rsidTr="005D5EF7">
        <w:tc>
          <w:tcPr>
            <w:tcW w:w="303" w:type="pct"/>
            <w:shd w:val="clear" w:color="auto" w:fill="F4BDB6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2C342F" w:rsidRPr="001D2643" w:rsidRDefault="00691729" w:rsidP="003171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</w:rPr>
            </w:pPr>
            <w:r w:rsidRPr="00691729">
              <w:rPr>
                <w:rFonts w:ascii="Arial" w:eastAsia="Times New Roman" w:hAnsi="Arial" w:cs="Arial"/>
                <w:color w:val="623B2A"/>
              </w:rPr>
              <w:t>Выплата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</w:tr>
      <w:tr w:rsidR="002C342F" w:rsidRPr="001D2643" w:rsidTr="005D5EF7">
        <w:tc>
          <w:tcPr>
            <w:tcW w:w="303" w:type="pct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2C342F" w:rsidRPr="001D2643" w:rsidRDefault="002C342F" w:rsidP="003171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</w:rPr>
            </w:pPr>
            <w:r w:rsidRPr="001D2643">
              <w:rPr>
                <w:rFonts w:ascii="Arial" w:eastAsia="Times New Roman" w:hAnsi="Arial" w:cs="Arial"/>
                <w:color w:val="623B2A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2C342F" w:rsidRPr="001D2643" w:rsidTr="005D5EF7">
        <w:tc>
          <w:tcPr>
            <w:tcW w:w="303" w:type="pct"/>
            <w:shd w:val="clear" w:color="auto" w:fill="F4BDB6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2C342F" w:rsidRPr="001D2643" w:rsidRDefault="00691729" w:rsidP="003171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</w:rPr>
            </w:pPr>
            <w:r w:rsidRPr="00691729">
              <w:rPr>
                <w:rFonts w:ascii="Arial" w:eastAsia="Times New Roman" w:hAnsi="Arial" w:cs="Arial"/>
                <w:color w:val="623B2A"/>
              </w:rPr>
              <w:t>Компенсация расходов на оплату жилого помещения и коммунальных услуг в виде ежемесячной денежной выплаты льготным категориям граждан</w:t>
            </w:r>
          </w:p>
        </w:tc>
      </w:tr>
      <w:tr w:rsidR="002C342F" w:rsidRPr="001D2643" w:rsidTr="005D5EF7">
        <w:tc>
          <w:tcPr>
            <w:tcW w:w="303" w:type="pct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2C342F" w:rsidRPr="001D2643" w:rsidRDefault="002C342F" w:rsidP="003171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</w:rPr>
            </w:pPr>
            <w:r w:rsidRPr="001D2643">
              <w:rPr>
                <w:rFonts w:ascii="Arial" w:eastAsia="Times New Roman" w:hAnsi="Arial" w:cs="Arial"/>
                <w:color w:val="623B2A"/>
              </w:rPr>
              <w:t>Социальная поддержка семей, имеющих детей (в том числе многодетных семей, одиноких родителей (назначение и выплата ежемесячного пособия на ребенка)</w:t>
            </w:r>
          </w:p>
        </w:tc>
      </w:tr>
      <w:tr w:rsidR="002C342F" w:rsidRPr="001D2643" w:rsidTr="005D5EF7">
        <w:tc>
          <w:tcPr>
            <w:tcW w:w="303" w:type="pct"/>
            <w:shd w:val="clear" w:color="auto" w:fill="F4BDB6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2C342F" w:rsidRPr="001D2643" w:rsidRDefault="002C342F" w:rsidP="003171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</w:rPr>
            </w:pPr>
            <w:r w:rsidRPr="001D2643">
              <w:rPr>
                <w:rFonts w:ascii="Arial" w:eastAsia="Times New Roman" w:hAnsi="Arial" w:cs="Arial"/>
                <w:color w:val="623B2A"/>
              </w:rPr>
              <w:t>Назначение и выплата единовременного пособия при рождении ребенка</w:t>
            </w:r>
          </w:p>
        </w:tc>
      </w:tr>
      <w:tr w:rsidR="002C342F" w:rsidRPr="001D2643" w:rsidTr="005D5EF7">
        <w:tc>
          <w:tcPr>
            <w:tcW w:w="303" w:type="pct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2C342F" w:rsidRPr="001D2643" w:rsidRDefault="002C342F" w:rsidP="003171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</w:rPr>
            </w:pPr>
            <w:r w:rsidRPr="001D2643">
              <w:rPr>
                <w:rFonts w:ascii="Arial" w:eastAsia="Times New Roman" w:hAnsi="Arial" w:cs="Arial"/>
                <w:color w:val="623B2A"/>
              </w:rPr>
              <w:t>Назначение и выплата пособия по уходу за ребенком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ежемесячных компенсационных выплат нетрудоустроенным женщинам, имеющим детей в возрасте до 3 лет, уволенным в связи с ликвидацией организации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 xml:space="preserve">Назначение и выплата пособия по беременности и родам 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Назначение и выплата единовременного пособия женщинам, вставшим на учет в медицинских организациях в ранние сроки беременности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ежемесячных денежных выплат на детей из многодетных семей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B358C3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Выдача справок студентам для получения государственной социальной стипендии</w:t>
            </w:r>
          </w:p>
          <w:p w:rsidR="00B358C3" w:rsidRPr="00691729" w:rsidRDefault="00B358C3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Выплата ежемесячной денежной компенсации в возмещение вреда инвалидам вследствие аварии на Чернобыльской АЭС и семьям, потерявшим кормильца из числа инвалидов и участников ликвидации аварии на ЧАЭС</w:t>
            </w:r>
          </w:p>
          <w:p w:rsidR="00B358C3" w:rsidRPr="00691729" w:rsidRDefault="00B358C3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ежемесячной денежной компенсации на приобретение продовольственных товаров гражданам, подвергшимся радиационному воздействию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ежегодной компенсации на оздоровление гражданам, подвергшимся радиационному воздействию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гражданам единовременной компенсации за вред здоровью, нанесенный вследствие чернобыльской катастрофы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компенсации за дополнительный оплачиваемый отпуск гражданам, подвергшимся воздействию радиации вследствие катастрофы на Чернобыльской АЭС, и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 xml:space="preserve">Предоставление компенсации для сохранения среднего заработка на период обучения новым профессиям и трудоустройства гражданам, эвакуированным из зоны отчуждения и переселенным (переселяемым) из зоны отселения, </w:t>
            </w:r>
          </w:p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Оплата расходов на газификацию домовладения (квартиры)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Выдача гражданам направлений на медико-социальную экспертизу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Выдача инвалидам направлений для получения образования в специальные учреждения среднего профессионального образования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Снижение стоимости лекарств по рецепту врача на 50 процентов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 xml:space="preserve">Выдача гражданам удостоверений (дубликатов удостоверений), подтверждающих право на меры социальной поддержки в соответствии с Федеральным </w:t>
            </w:r>
            <w:hyperlink r:id="rId7" w:history="1">
              <w:r w:rsidRPr="00691729">
                <w:rPr>
                  <w:rFonts w:ascii="Arial" w:hAnsi="Arial" w:cs="Arial"/>
                  <w:color w:val="623B2A"/>
                </w:rPr>
                <w:t>законом</w:t>
              </w:r>
            </w:hyperlink>
            <w:r w:rsidRPr="00691729">
              <w:rPr>
                <w:rFonts w:ascii="Arial" w:hAnsi="Arial" w:cs="Arial"/>
                <w:color w:val="623B2A"/>
              </w:rPr>
              <w:t xml:space="preserve"> от 12.01.1995 № 5-ФЗ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Выдача сертификата на региональный материнский капитал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Назначение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Оформление путевки ребенку-инвалиду в организацию социального обслуживания Ростовской области несовершеннолетних и семей с детьми (детский дом-интернат)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Оформление путевки гражданину пожилого возраста и инвалиду в организацию социального обслуживания Ростовской области (дом-интернат, психоневрологический интернат)</w:t>
            </w:r>
          </w:p>
        </w:tc>
      </w:tr>
      <w:tr w:rsidR="00B801AC" w:rsidRPr="001D2643" w:rsidTr="00B801AC">
        <w:tc>
          <w:tcPr>
            <w:tcW w:w="303" w:type="pct"/>
            <w:shd w:val="clear" w:color="auto" w:fill="auto"/>
          </w:tcPr>
          <w:p w:rsidR="00B801AC" w:rsidRPr="002C342F" w:rsidRDefault="00B801AC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B801AC" w:rsidRPr="00691729" w:rsidRDefault="00B801AC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B801AC">
              <w:rPr>
                <w:rFonts w:ascii="Arial" w:hAnsi="Arial" w:cs="Arial"/>
                <w:color w:val="623B2A"/>
              </w:rPr>
              <w:t>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</w:t>
            </w:r>
          </w:p>
        </w:tc>
      </w:tr>
      <w:tr w:rsidR="00B801AC" w:rsidRPr="001D2643" w:rsidTr="005D5EF7">
        <w:tc>
          <w:tcPr>
            <w:tcW w:w="303" w:type="pct"/>
            <w:shd w:val="clear" w:color="auto" w:fill="F4BDB6"/>
          </w:tcPr>
          <w:p w:rsidR="00B801AC" w:rsidRPr="002C342F" w:rsidRDefault="00B801AC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B801AC" w:rsidRPr="00691729" w:rsidRDefault="00B801AC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>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</w:tr>
      <w:tr w:rsidR="00B801AC" w:rsidRPr="001D2643" w:rsidTr="00B801AC">
        <w:tc>
          <w:tcPr>
            <w:tcW w:w="303" w:type="pct"/>
            <w:shd w:val="clear" w:color="auto" w:fill="auto"/>
          </w:tcPr>
          <w:p w:rsidR="00B801AC" w:rsidRPr="002C342F" w:rsidRDefault="00B801AC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B801AC" w:rsidRPr="00691729" w:rsidRDefault="00B801AC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691729">
              <w:rPr>
                <w:rFonts w:ascii="Arial" w:hAnsi="Arial" w:cs="Arial"/>
                <w:color w:val="623B2A"/>
              </w:rPr>
              <w:t xml:space="preserve">Оформление путевки ребенку с ограниченными возможностями в организацию социального обслуживания Ростовской области несовершеннолетних и семей с </w:t>
            </w:r>
            <w:r w:rsidRPr="00691729">
              <w:rPr>
                <w:rFonts w:ascii="Arial" w:hAnsi="Arial" w:cs="Arial"/>
                <w:color w:val="623B2A"/>
              </w:rPr>
              <w:lastRenderedPageBreak/>
              <w:t>детьми (реабилитационный центр для детей и подростков с ограниченными возможностями)</w:t>
            </w:r>
          </w:p>
        </w:tc>
      </w:tr>
      <w:tr w:rsidR="00B801AC" w:rsidRPr="001D2643" w:rsidTr="005D5EF7">
        <w:tc>
          <w:tcPr>
            <w:tcW w:w="303" w:type="pct"/>
            <w:shd w:val="clear" w:color="auto" w:fill="F4BDB6"/>
          </w:tcPr>
          <w:p w:rsidR="00B801AC" w:rsidRPr="002C342F" w:rsidRDefault="00B801AC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B801AC" w:rsidRPr="00691729" w:rsidRDefault="00B801AC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B801AC">
              <w:rPr>
                <w:rFonts w:ascii="Arial" w:hAnsi="Arial" w:cs="Arial"/>
                <w:color w:val="623B2A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</w:tr>
      <w:tr w:rsidR="00B801AC" w:rsidRPr="001D2643" w:rsidTr="00B801AC">
        <w:tc>
          <w:tcPr>
            <w:tcW w:w="303" w:type="pct"/>
            <w:shd w:val="clear" w:color="auto" w:fill="auto"/>
          </w:tcPr>
          <w:p w:rsidR="00B801AC" w:rsidRPr="002C342F" w:rsidRDefault="00B801AC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B801AC" w:rsidRPr="00691729" w:rsidRDefault="00B801AC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B801AC">
              <w:rPr>
                <w:rFonts w:ascii="Arial" w:hAnsi="Arial" w:cs="Arial"/>
                <w:color w:val="623B2A"/>
              </w:rPr>
              <w:t>Организация отдыха и оздоровления детей, находящихся в трудной жизненной ситуации</w:t>
            </w:r>
          </w:p>
        </w:tc>
      </w:tr>
      <w:tr w:rsidR="00B801AC" w:rsidRPr="001D2643" w:rsidTr="005D5EF7">
        <w:tc>
          <w:tcPr>
            <w:tcW w:w="303" w:type="pct"/>
            <w:shd w:val="clear" w:color="auto" w:fill="F4BDB6"/>
          </w:tcPr>
          <w:p w:rsidR="00B801AC" w:rsidRPr="002C342F" w:rsidRDefault="00B801AC" w:rsidP="006917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B801AC" w:rsidRPr="00691729" w:rsidRDefault="00B801AC" w:rsidP="00691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B801AC">
              <w:rPr>
                <w:rFonts w:ascii="Arial" w:hAnsi="Arial" w:cs="Arial"/>
                <w:color w:val="623B2A"/>
              </w:rPr>
              <w:t>Предоставление ежемесячной денежной выплаты на третьего ребенка или последующих детей</w:t>
            </w:r>
          </w:p>
        </w:tc>
      </w:tr>
      <w:tr w:rsidR="00B801AC" w:rsidRPr="001D2643" w:rsidTr="00B801AC">
        <w:tc>
          <w:tcPr>
            <w:tcW w:w="5000" w:type="pct"/>
            <w:gridSpan w:val="2"/>
            <w:shd w:val="clear" w:color="auto" w:fill="auto"/>
          </w:tcPr>
          <w:p w:rsidR="00B801AC" w:rsidRPr="00B801AC" w:rsidRDefault="00B801AC" w:rsidP="00B801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623B2A"/>
              </w:rPr>
            </w:pPr>
            <w:r w:rsidRPr="00DE6EFF">
              <w:rPr>
                <w:rFonts w:ascii="Arial" w:hAnsi="Arial" w:cs="Arial"/>
                <w:b/>
                <w:i/>
                <w:color w:val="623B2A"/>
                <w:lang w:eastAsia="ru-RU"/>
              </w:rPr>
              <w:t>Муниципальные услуги в сфере земельно-имущественных отношений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DE6EFF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Постановка на учет граждан, имеющих трех и более детей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>,</w:t>
            </w: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 xml:space="preserve"> в целях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бесплатного предоставления земельного участка в собственность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для индивидуального жилищного строительства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Расторжение договора аренды, безвозмездного пользования земельным участком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Расторжение договора аренды муниципального имущества (за исключением земельных участков)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CB7808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CB7808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Выдача арендатору земельного участка согласия на залог права аренды земельного участка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Сверка арендных платежей с арендаторами земельных участков, муниципального имущества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Передача в муниципальную собственность ранее приватизированных жилых помещений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CB7808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Продажа </w:t>
            </w:r>
            <w:r w:rsidR="00CB7808">
              <w:rPr>
                <w:rFonts w:ascii="Arial" w:hAnsi="Arial" w:cs="Arial"/>
                <w:color w:val="623B2A"/>
                <w:sz w:val="22"/>
                <w:szCs w:val="22"/>
              </w:rPr>
              <w:t xml:space="preserve">земельного участка </w:t>
            </w: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без проведения торгов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CB7808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Пре</w:t>
            </w:r>
            <w:r w:rsidR="00CB7808">
              <w:rPr>
                <w:rFonts w:ascii="Arial" w:hAnsi="Arial" w:cs="Arial"/>
                <w:color w:val="623B2A"/>
                <w:sz w:val="22"/>
                <w:szCs w:val="22"/>
              </w:rPr>
              <w:t xml:space="preserve">доставление земельного участка </w:t>
            </w: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в собственность бесплатно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CB7808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Пре</w:t>
            </w:r>
            <w:r w:rsidR="00CB7808">
              <w:rPr>
                <w:rFonts w:ascii="Arial" w:hAnsi="Arial" w:cs="Arial"/>
                <w:color w:val="623B2A"/>
                <w:sz w:val="22"/>
                <w:szCs w:val="22"/>
              </w:rPr>
              <w:t xml:space="preserve">доставление земельного участка </w:t>
            </w: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в аренду без проведения торгов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C84B42" w:rsidRPr="001D2643" w:rsidTr="00297654">
        <w:tc>
          <w:tcPr>
            <w:tcW w:w="303" w:type="pct"/>
            <w:shd w:val="clear" w:color="auto" w:fill="F4BDB6"/>
          </w:tcPr>
          <w:p w:rsidR="00C84B42" w:rsidRPr="002C342F" w:rsidRDefault="00C84B42" w:rsidP="00C84B42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C84B42" w:rsidRPr="00691729" w:rsidRDefault="00C84B42" w:rsidP="00C84B42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C84B42"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</w:tr>
      <w:tr w:rsidR="00C84B42" w:rsidRPr="001D2643" w:rsidTr="005D5EF7">
        <w:tc>
          <w:tcPr>
            <w:tcW w:w="303" w:type="pct"/>
          </w:tcPr>
          <w:p w:rsidR="00C84B42" w:rsidRPr="002C342F" w:rsidRDefault="00C84B42" w:rsidP="0069172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C84B42" w:rsidRPr="00691729" w:rsidRDefault="00C84B42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84B42">
              <w:rPr>
                <w:rFonts w:ascii="Arial" w:hAnsi="Arial" w:cs="Arial"/>
                <w:color w:val="623B2A"/>
                <w:sz w:val="22"/>
                <w:szCs w:val="22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2C342F" w:rsidRPr="001D2643" w:rsidTr="005D5EF7">
        <w:tc>
          <w:tcPr>
            <w:tcW w:w="303" w:type="pct"/>
          </w:tcPr>
          <w:p w:rsidR="002C342F" w:rsidRPr="002C342F" w:rsidRDefault="002C342F" w:rsidP="002C342F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2C342F" w:rsidRPr="001D2643" w:rsidRDefault="002C342F" w:rsidP="00317187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  <w:r w:rsidRPr="001D2643"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  <w:t>Муниципальные услуги в сфере архитектуры и градостроительства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CB7808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CB7808">
              <w:rPr>
                <w:rFonts w:ascii="Arial" w:hAnsi="Arial" w:cs="Arial"/>
                <w:color w:val="623B2A"/>
                <w:sz w:val="22"/>
                <w:szCs w:val="22"/>
              </w:rPr>
              <w:t>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ввод объекта в эксплуатацию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градостроительного плана земельного участка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Выдача разрешений на установку и эксплуатацию рекламных конструкций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Присвоение, изменение и аннулирование адреса объекта адресации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</w:tr>
      <w:tr w:rsidR="002C342F" w:rsidRPr="001D2643" w:rsidTr="005D5EF7">
        <w:tc>
          <w:tcPr>
            <w:tcW w:w="303" w:type="pct"/>
          </w:tcPr>
          <w:p w:rsidR="002C342F" w:rsidRPr="002C342F" w:rsidRDefault="002C342F" w:rsidP="002C342F">
            <w:pPr>
              <w:tabs>
                <w:tab w:val="left" w:pos="993"/>
                <w:tab w:val="left" w:pos="1276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2C342F" w:rsidRPr="001D2643" w:rsidRDefault="002C342F" w:rsidP="00317187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  <w:r w:rsidRPr="001D2643"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  <w:t>Муниципальные услуги в жилищной сфере</w:t>
            </w:r>
          </w:p>
        </w:tc>
      </w:tr>
      <w:tr w:rsidR="00691729" w:rsidRPr="001D2643" w:rsidTr="005D5EF7">
        <w:tc>
          <w:tcPr>
            <w:tcW w:w="303" w:type="pct"/>
            <w:shd w:val="clear" w:color="auto" w:fill="F4BDB6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691729" w:rsidRPr="00691729" w:rsidRDefault="00691729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 w:val="22"/>
                <w:szCs w:val="22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69172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C84B42" w:rsidP="0069172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C84B42">
              <w:rPr>
                <w:rFonts w:ascii="Arial" w:hAnsi="Arial" w:cs="Arial"/>
                <w:color w:val="623B2A"/>
                <w:sz w:val="22"/>
                <w:szCs w:val="22"/>
              </w:rPr>
              <w:t>Включение молодых семей, нуждающихся в улучшении жилищных условий,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bookmarkStart w:id="0" w:name="_GoBack"/>
            <w:bookmarkEnd w:id="0"/>
          </w:p>
        </w:tc>
      </w:tr>
      <w:tr w:rsidR="00C84B42" w:rsidRPr="001D2643" w:rsidTr="00A95862">
        <w:tc>
          <w:tcPr>
            <w:tcW w:w="303" w:type="pct"/>
            <w:shd w:val="clear" w:color="auto" w:fill="F4BDB6"/>
          </w:tcPr>
          <w:p w:rsidR="00C84B42" w:rsidRPr="002C342F" w:rsidRDefault="00C84B42" w:rsidP="00C84B42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C84B42" w:rsidRPr="00691729" w:rsidRDefault="00C84B42" w:rsidP="00C84B42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C84B42">
              <w:rPr>
                <w:rFonts w:ascii="Arial" w:hAnsi="Arial" w:cs="Arial"/>
                <w:color w:val="623B2A"/>
                <w:sz w:val="22"/>
                <w:szCs w:val="22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</w:tr>
      <w:tr w:rsidR="00691729" w:rsidRPr="001D2643" w:rsidTr="00691729">
        <w:tc>
          <w:tcPr>
            <w:tcW w:w="5000" w:type="pct"/>
            <w:gridSpan w:val="2"/>
          </w:tcPr>
          <w:p w:rsidR="00691729" w:rsidRPr="001D2643" w:rsidRDefault="00691729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  <w:t xml:space="preserve">                                      </w:t>
            </w:r>
            <w:r w:rsidRPr="001D2643"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  <w:t>Муниципальные услуги</w:t>
            </w:r>
            <w:r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  <w:t xml:space="preserve"> в сфере архивного дела </w:t>
            </w:r>
          </w:p>
        </w:tc>
      </w:tr>
      <w:tr w:rsidR="00691729" w:rsidRPr="001D2643" w:rsidTr="005D5EF7">
        <w:tc>
          <w:tcPr>
            <w:tcW w:w="303" w:type="pct"/>
          </w:tcPr>
          <w:p w:rsidR="00691729" w:rsidRPr="002C342F" w:rsidRDefault="00691729" w:rsidP="002C342F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691729" w:rsidRPr="00691729" w:rsidRDefault="00691729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691729">
              <w:rPr>
                <w:rFonts w:ascii="Arial" w:hAnsi="Arial" w:cs="Arial"/>
                <w:color w:val="623B2A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</w:tr>
      <w:tr w:rsidR="002C342F" w:rsidRPr="001D2643" w:rsidTr="005D5EF7">
        <w:tc>
          <w:tcPr>
            <w:tcW w:w="303" w:type="pct"/>
          </w:tcPr>
          <w:p w:rsidR="002C342F" w:rsidRPr="002C342F" w:rsidRDefault="002C342F" w:rsidP="002C342F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2C342F" w:rsidRPr="001D2643" w:rsidRDefault="002C342F" w:rsidP="00CF5BBB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  <w:r w:rsidRPr="001D2643"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  <w:t>Услуги органов ЗАГС</w:t>
            </w:r>
          </w:p>
        </w:tc>
      </w:tr>
      <w:tr w:rsidR="002C342F" w:rsidRPr="001D2643" w:rsidTr="005D5EF7">
        <w:tc>
          <w:tcPr>
            <w:tcW w:w="303" w:type="pct"/>
            <w:shd w:val="clear" w:color="auto" w:fill="F4BDB6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2C342F" w:rsidRPr="001D2643" w:rsidRDefault="002C342F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D2643">
              <w:rPr>
                <w:rFonts w:ascii="Arial" w:eastAsia="Times New Roman" w:hAnsi="Arial" w:cs="Arial"/>
                <w:color w:val="623B2A"/>
                <w:lang w:eastAsia="ru-RU"/>
              </w:rP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</w:tr>
      <w:tr w:rsidR="002C342F" w:rsidRPr="001D2643" w:rsidTr="005D5EF7">
        <w:tc>
          <w:tcPr>
            <w:tcW w:w="303" w:type="pct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2C342F" w:rsidRPr="001D2643" w:rsidRDefault="002C342F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D2643">
              <w:rPr>
                <w:rFonts w:ascii="Arial" w:eastAsia="Times New Roman" w:hAnsi="Arial" w:cs="Arial"/>
                <w:color w:val="623B2A"/>
                <w:lang w:eastAsia="ru-RU"/>
              </w:rP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</w:tr>
      <w:tr w:rsidR="002C342F" w:rsidRPr="001D2643" w:rsidTr="005D5EF7">
        <w:tc>
          <w:tcPr>
            <w:tcW w:w="303" w:type="pct"/>
            <w:shd w:val="clear" w:color="auto" w:fill="F4BDB6"/>
          </w:tcPr>
          <w:p w:rsidR="002C342F" w:rsidRPr="002C342F" w:rsidRDefault="002C342F" w:rsidP="002C342F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2C342F" w:rsidRPr="001D2643" w:rsidRDefault="002C342F" w:rsidP="00317187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D2643">
              <w:rPr>
                <w:rFonts w:ascii="Arial" w:eastAsia="Times New Roman" w:hAnsi="Arial" w:cs="Arial"/>
                <w:color w:val="623B2A"/>
                <w:lang w:eastAsia="ru-RU"/>
              </w:rPr>
              <w:t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</w:p>
        </w:tc>
      </w:tr>
    </w:tbl>
    <w:p w:rsidR="002360A4" w:rsidRDefault="002360A4" w:rsidP="00317187"/>
    <w:sectPr w:rsidR="002360A4" w:rsidSect="000D628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A9" w:rsidRDefault="00B534A9" w:rsidP="000D6283">
      <w:pPr>
        <w:spacing w:after="0" w:line="240" w:lineRule="auto"/>
      </w:pPr>
      <w:r>
        <w:separator/>
      </w:r>
    </w:p>
  </w:endnote>
  <w:endnote w:type="continuationSeparator" w:id="0">
    <w:p w:rsidR="00B534A9" w:rsidRDefault="00B534A9" w:rsidP="000D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A9" w:rsidRDefault="00B534A9" w:rsidP="000D6283">
      <w:pPr>
        <w:spacing w:after="0" w:line="240" w:lineRule="auto"/>
      </w:pPr>
      <w:r>
        <w:separator/>
      </w:r>
    </w:p>
  </w:footnote>
  <w:footnote w:type="continuationSeparator" w:id="0">
    <w:p w:rsidR="00B534A9" w:rsidRDefault="00B534A9" w:rsidP="000D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A0939"/>
    <w:multiLevelType w:val="hybridMultilevel"/>
    <w:tmpl w:val="F354A2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6FF5826"/>
    <w:multiLevelType w:val="hybridMultilevel"/>
    <w:tmpl w:val="04D25E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87"/>
    <w:rsid w:val="00006082"/>
    <w:rsid w:val="000D6283"/>
    <w:rsid w:val="00176451"/>
    <w:rsid w:val="001866EA"/>
    <w:rsid w:val="001D2643"/>
    <w:rsid w:val="002360A4"/>
    <w:rsid w:val="00252B71"/>
    <w:rsid w:val="002C342F"/>
    <w:rsid w:val="00317187"/>
    <w:rsid w:val="0038356A"/>
    <w:rsid w:val="0039434E"/>
    <w:rsid w:val="00546008"/>
    <w:rsid w:val="0059504C"/>
    <w:rsid w:val="005D4AB7"/>
    <w:rsid w:val="005D5EF7"/>
    <w:rsid w:val="00640CF9"/>
    <w:rsid w:val="00691729"/>
    <w:rsid w:val="006F6202"/>
    <w:rsid w:val="008E0623"/>
    <w:rsid w:val="009654C7"/>
    <w:rsid w:val="00B358C3"/>
    <w:rsid w:val="00B534A9"/>
    <w:rsid w:val="00B801AC"/>
    <w:rsid w:val="00B932E6"/>
    <w:rsid w:val="00C84B42"/>
    <w:rsid w:val="00CB7808"/>
    <w:rsid w:val="00CF5BBB"/>
    <w:rsid w:val="00DE6EFF"/>
    <w:rsid w:val="00DF6D5D"/>
    <w:rsid w:val="00F007ED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91ED3-1E3A-44B6-ADCC-63C4F1F1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20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283"/>
  </w:style>
  <w:style w:type="paragraph" w:styleId="a8">
    <w:name w:val="footer"/>
    <w:basedOn w:val="a"/>
    <w:link w:val="a9"/>
    <w:uiPriority w:val="99"/>
    <w:unhideWhenUsed/>
    <w:rsid w:val="000D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283"/>
  </w:style>
  <w:style w:type="paragraph" w:customStyle="1" w:styleId="124">
    <w:name w:val="124"/>
    <w:basedOn w:val="a"/>
    <w:qFormat/>
    <w:rsid w:val="006917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D766B5840FF52CEF0382C3BC4948D81DB8485D89DDDBD332F19BDCEr55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podoroga</dc:creator>
  <cp:lastModifiedBy>Жильцова И.С.</cp:lastModifiedBy>
  <cp:revision>4</cp:revision>
  <cp:lastPrinted>2015-11-16T08:30:00Z</cp:lastPrinted>
  <dcterms:created xsi:type="dcterms:W3CDTF">2018-09-06T11:12:00Z</dcterms:created>
  <dcterms:modified xsi:type="dcterms:W3CDTF">2018-09-25T11:29:00Z</dcterms:modified>
</cp:coreProperties>
</file>